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1BB6" w14:textId="3A691038" w:rsidR="000545D8" w:rsidRPr="00505EC0" w:rsidRDefault="00753D82" w:rsidP="000545D8">
      <w:pPr>
        <w:pStyle w:val="NoSpacing"/>
        <w:spacing w:line="288" w:lineRule="auto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/>
          <w:sz w:val="20"/>
        </w:rPr>
        <w:t>Number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>: KSEI-18110/JKU/0725</w:t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ab/>
        <w:t xml:space="preserve">     </w:t>
      </w:r>
      <w:r>
        <w:rPr>
          <w:rFonts w:ascii="Ebrima" w:hAnsi="Ebrima"/>
          <w:sz w:val="20"/>
        </w:rPr>
        <w:tab/>
        <w:t>July 15, 2025</w:t>
      </w:r>
    </w:p>
    <w:p w14:paraId="5582DB79" w14:textId="6BA00A5C" w:rsidR="000545D8" w:rsidRPr="00505EC0" w:rsidRDefault="000545D8" w:rsidP="000545D8">
      <w:pPr>
        <w:pStyle w:val="NoSpacing"/>
        <w:spacing w:line="288" w:lineRule="auto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/>
          <w:sz w:val="20"/>
        </w:rPr>
        <w:t>Attachment</w:t>
      </w:r>
      <w:r>
        <w:rPr>
          <w:rFonts w:ascii="Ebrima" w:hAnsi="Ebrima"/>
          <w:sz w:val="20"/>
        </w:rPr>
        <w:tab/>
      </w:r>
      <w:r w:rsidR="008E6361">
        <w:rPr>
          <w:rFonts w:ascii="Ebrima" w:hAnsi="Ebrima"/>
          <w:sz w:val="20"/>
        </w:rPr>
        <w:tab/>
      </w:r>
      <w:r>
        <w:rPr>
          <w:rFonts w:ascii="Ebrima" w:hAnsi="Ebrima"/>
          <w:sz w:val="20"/>
        </w:rPr>
        <w:t>: -</w:t>
      </w:r>
    </w:p>
    <w:p w14:paraId="182AA04E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</w:rPr>
        <w:t>Letter Classification</w:t>
      </w:r>
      <w:r>
        <w:rPr>
          <w:rFonts w:ascii="Ebrima" w:hAnsi="Ebrima"/>
        </w:rPr>
        <w:tab/>
        <w:t>: General</w:t>
      </w:r>
    </w:p>
    <w:p w14:paraId="365480AA" w14:textId="77777777" w:rsidR="005E18AB" w:rsidRPr="00505EC0" w:rsidRDefault="005E18AB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  <w:b/>
          <w:bCs/>
        </w:rPr>
      </w:pPr>
    </w:p>
    <w:p w14:paraId="62D8D9AA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  <w:b/>
        </w:rPr>
        <w:t>To:</w:t>
      </w:r>
      <w:r>
        <w:rPr>
          <w:rFonts w:ascii="Ebrima" w:hAnsi="Ebrima"/>
        </w:rPr>
        <w:t xml:space="preserve"> </w:t>
      </w:r>
      <w:r>
        <w:rPr>
          <w:rFonts w:ascii="Ebrima" w:hAnsi="Ebrima"/>
          <w:b/>
        </w:rPr>
        <w:t>Board of Directors of Account Holders</w:t>
      </w:r>
    </w:p>
    <w:p w14:paraId="34233BC8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</w:rPr>
        <w:t xml:space="preserve">Indonesia Central Securities Depository (KSEI) </w:t>
      </w:r>
    </w:p>
    <w:p w14:paraId="47F94603" w14:textId="77777777" w:rsidR="00C065C5" w:rsidRPr="00505EC0" w:rsidRDefault="00C065C5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  <w:b/>
          <w:position w:val="-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07"/>
      </w:tblGrid>
      <w:tr w:rsidR="000545D8" w:rsidRPr="00505EC0" w14:paraId="4AF9CEB3" w14:textId="77777777" w:rsidTr="008E6361">
        <w:trPr>
          <w:trHeight w:val="306"/>
        </w:trPr>
        <w:tc>
          <w:tcPr>
            <w:tcW w:w="568" w:type="dxa"/>
          </w:tcPr>
          <w:p w14:paraId="40FFC27F" w14:textId="77777777" w:rsidR="000545D8" w:rsidRPr="00505EC0" w:rsidRDefault="000545D8" w:rsidP="000545D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  <w:b/>
                <w:position w:val="-1"/>
              </w:rPr>
            </w:pPr>
            <w:r>
              <w:rPr>
                <w:rFonts w:ascii="Ebrima" w:hAnsi="Ebrima"/>
                <w:b/>
              </w:rPr>
              <w:t>Re:</w:t>
            </w:r>
          </w:p>
        </w:tc>
        <w:tc>
          <w:tcPr>
            <w:tcW w:w="8607" w:type="dxa"/>
          </w:tcPr>
          <w:p w14:paraId="2ED56112" w14:textId="77777777" w:rsidR="000545D8" w:rsidRPr="00505EC0" w:rsidRDefault="005F500F" w:rsidP="001B619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  <w:b/>
                <w:position w:val="-1"/>
              </w:rPr>
            </w:pPr>
            <w:r>
              <w:rPr>
                <w:rFonts w:ascii="Ebrima" w:hAnsi="Ebrima"/>
                <w:b/>
              </w:rPr>
              <w:t xml:space="preserve">Schedule of XL Axiata Shelf Registration </w:t>
            </w:r>
            <w:proofErr w:type="spellStart"/>
            <w:r>
              <w:rPr>
                <w:rFonts w:ascii="Ebrima" w:hAnsi="Ebrima"/>
                <w:b/>
              </w:rPr>
              <w:t>Ijara</w:t>
            </w:r>
            <w:proofErr w:type="spellEnd"/>
            <w:r>
              <w:rPr>
                <w:rFonts w:ascii="Ebrima" w:hAnsi="Ebrima"/>
                <w:b/>
              </w:rPr>
              <w:t xml:space="preserve"> Sukuk I Phase II Year 2017 Series E’s </w:t>
            </w:r>
            <w:proofErr w:type="spellStart"/>
            <w:r>
              <w:rPr>
                <w:rFonts w:ascii="Ebrima" w:hAnsi="Ebrima"/>
                <w:b/>
              </w:rPr>
              <w:t>Ijara</w:t>
            </w:r>
            <w:proofErr w:type="spellEnd"/>
            <w:r>
              <w:rPr>
                <w:rFonts w:ascii="Ebrima" w:hAnsi="Ebrima"/>
                <w:b/>
              </w:rPr>
              <w:t xml:space="preserve"> Fee and Additional </w:t>
            </w:r>
            <w:proofErr w:type="spellStart"/>
            <w:r>
              <w:rPr>
                <w:rFonts w:ascii="Ebrima" w:hAnsi="Ebrima"/>
                <w:b/>
              </w:rPr>
              <w:t>Ijara</w:t>
            </w:r>
            <w:proofErr w:type="spellEnd"/>
            <w:r>
              <w:rPr>
                <w:rFonts w:ascii="Ebrima" w:hAnsi="Ebrima"/>
                <w:b/>
              </w:rPr>
              <w:t xml:space="preserve"> Return Payments</w:t>
            </w:r>
          </w:p>
        </w:tc>
      </w:tr>
    </w:tbl>
    <w:p w14:paraId="6C7B76BA" w14:textId="77777777" w:rsidR="000545D8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7E8A0D03" w14:textId="77777777" w:rsidR="008E6361" w:rsidRDefault="008E6361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6834FD8A" w14:textId="77777777" w:rsidR="008E6361" w:rsidRPr="00505EC0" w:rsidRDefault="008E6361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5786A545" w14:textId="77777777" w:rsidR="000545D8" w:rsidRPr="00505EC0" w:rsidRDefault="000545D8" w:rsidP="00423EB3">
      <w:pPr>
        <w:widowControl w:val="0"/>
        <w:autoSpaceDE w:val="0"/>
        <w:autoSpaceDN w:val="0"/>
        <w:adjustRightInd w:val="0"/>
        <w:spacing w:line="276" w:lineRule="auto"/>
        <w:rPr>
          <w:rFonts w:ascii="Ebrima" w:hAnsi="Ebrima" w:cs="Arial"/>
        </w:rPr>
      </w:pPr>
      <w:r>
        <w:rPr>
          <w:rFonts w:ascii="Ebrima" w:hAnsi="Ebrima"/>
        </w:rPr>
        <w:t>Dear Sir/Madam,</w:t>
      </w:r>
    </w:p>
    <w:p w14:paraId="637F30E4" w14:textId="77777777" w:rsidR="000545D8" w:rsidRPr="00505EC0" w:rsidRDefault="000545D8" w:rsidP="00423EB3">
      <w:pPr>
        <w:widowControl w:val="0"/>
        <w:autoSpaceDE w:val="0"/>
        <w:autoSpaceDN w:val="0"/>
        <w:adjustRightInd w:val="0"/>
        <w:spacing w:line="276" w:lineRule="auto"/>
        <w:rPr>
          <w:rFonts w:ascii="Ebrima" w:hAnsi="Ebrima" w:cs="Arial"/>
        </w:rPr>
      </w:pPr>
    </w:p>
    <w:p w14:paraId="21837917" w14:textId="77777777" w:rsidR="00BF6B9F" w:rsidRDefault="00C065C5" w:rsidP="00423EB3">
      <w:pPr>
        <w:pStyle w:val="BodyText2"/>
        <w:spacing w:after="240" w:line="276" w:lineRule="auto"/>
        <w:ind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>Referring to</w:t>
      </w:r>
    </w:p>
    <w:p w14:paraId="4BC92E2A" w14:textId="77777777" w:rsidR="001B619E" w:rsidRDefault="001B619E" w:rsidP="00423EB3">
      <w:pPr>
        <w:pStyle w:val="BodyText2"/>
        <w:numPr>
          <w:ilvl w:val="0"/>
          <w:numId w:val="5"/>
        </w:numPr>
        <w:spacing w:line="276" w:lineRule="auto"/>
        <w:ind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 xml:space="preserve">PT XLSMART Telecom Sejahtera Tbk Letter No. 89/Fin-Trea/XLSMART/VI/2025 dated June 16, 2025, regarding the Notification on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and Bond Returns for the Shelf Registration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Sukuk.</w:t>
      </w:r>
    </w:p>
    <w:p w14:paraId="7FFCCDAE" w14:textId="77777777" w:rsidR="001B619E" w:rsidRPr="001B619E" w:rsidRDefault="001B619E" w:rsidP="00423EB3">
      <w:pPr>
        <w:pStyle w:val="BodyText2"/>
        <w:numPr>
          <w:ilvl w:val="0"/>
          <w:numId w:val="5"/>
        </w:numPr>
        <w:spacing w:line="276" w:lineRule="auto"/>
        <w:ind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>PT Fitch Ratings Indonesia Letter No. 62/DIR/RATLTR/IV/2025 dated April 23, 2025, regarding the Rating of PT XLSMART Telecom Sejahtera Tbk.</w:t>
      </w:r>
    </w:p>
    <w:p w14:paraId="206B96E8" w14:textId="77777777" w:rsidR="000545D8" w:rsidRPr="001B619E" w:rsidRDefault="00E00151" w:rsidP="00423EB3">
      <w:pPr>
        <w:pStyle w:val="BodyText2"/>
        <w:spacing w:before="240" w:line="276" w:lineRule="auto"/>
        <w:ind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>We hereby inform you that PT AXIATA Tbk will conduct the following Corporate Action:</w:t>
      </w: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1628"/>
        <w:gridCol w:w="1909"/>
        <w:gridCol w:w="2522"/>
      </w:tblGrid>
      <w:tr w:rsidR="00EE64EA" w:rsidRPr="00505EC0" w14:paraId="54A43968" w14:textId="77777777" w:rsidTr="008E6361">
        <w:trPr>
          <w:trHeight w:val="187"/>
        </w:trPr>
        <w:tc>
          <w:tcPr>
            <w:tcW w:w="1550" w:type="pct"/>
            <w:vAlign w:val="center"/>
          </w:tcPr>
          <w:p w14:paraId="5A88FE26" w14:textId="77777777" w:rsidR="00EE64EA" w:rsidRPr="00505EC0" w:rsidRDefault="00EE64EA" w:rsidP="00010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b/>
                <w:w w:val="104"/>
              </w:rPr>
            </w:pPr>
            <w:r>
              <w:rPr>
                <w:rFonts w:ascii="Ebrima" w:hAnsi="Ebrima"/>
                <w:b/>
              </w:rPr>
              <w:t>Securities Name</w:t>
            </w:r>
          </w:p>
        </w:tc>
        <w:tc>
          <w:tcPr>
            <w:tcW w:w="927" w:type="pct"/>
            <w:vAlign w:val="center"/>
          </w:tcPr>
          <w:p w14:paraId="548AD6AA" w14:textId="77777777" w:rsidR="00EE64EA" w:rsidRPr="00505EC0" w:rsidRDefault="00EE64EA" w:rsidP="00010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ISIN Code</w:t>
            </w:r>
          </w:p>
        </w:tc>
        <w:tc>
          <w:tcPr>
            <w:tcW w:w="1087" w:type="pct"/>
            <w:vAlign w:val="center"/>
          </w:tcPr>
          <w:p w14:paraId="6D5A0FF2" w14:textId="77777777" w:rsidR="00EE64EA" w:rsidRPr="00505EC0" w:rsidRDefault="00EE64EA" w:rsidP="00010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Securities Code</w:t>
            </w:r>
          </w:p>
        </w:tc>
        <w:tc>
          <w:tcPr>
            <w:tcW w:w="1436" w:type="pct"/>
            <w:vAlign w:val="center"/>
          </w:tcPr>
          <w:p w14:paraId="3322AF1A" w14:textId="77777777" w:rsidR="00EE64EA" w:rsidRPr="00505EC0" w:rsidRDefault="00EE64EA" w:rsidP="00010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Maturity Date</w:t>
            </w:r>
          </w:p>
        </w:tc>
      </w:tr>
      <w:tr w:rsidR="00EE64EA" w:rsidRPr="00505EC0" w14:paraId="77E8F9A5" w14:textId="77777777" w:rsidTr="008E6361">
        <w:trPr>
          <w:trHeight w:val="408"/>
        </w:trPr>
        <w:tc>
          <w:tcPr>
            <w:tcW w:w="1550" w:type="pct"/>
            <w:vAlign w:val="center"/>
          </w:tcPr>
          <w:p w14:paraId="3B3B3721" w14:textId="77777777" w:rsidR="00EE64EA" w:rsidRPr="00505EC0" w:rsidRDefault="00EE64EA" w:rsidP="0001093A">
            <w:pPr>
              <w:spacing w:line="276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 xml:space="preserve">XL Axiata Shelf Registration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Sukuk I Phase II Year 2017 Series E</w:t>
            </w:r>
          </w:p>
        </w:tc>
        <w:tc>
          <w:tcPr>
            <w:tcW w:w="927" w:type="pct"/>
            <w:vAlign w:val="center"/>
          </w:tcPr>
          <w:p w14:paraId="69BEB97D" w14:textId="77777777" w:rsidR="00EE64EA" w:rsidRPr="00505EC0" w:rsidRDefault="00EE64EA" w:rsidP="0001093A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IDJ0000088E0</w:t>
            </w:r>
          </w:p>
        </w:tc>
        <w:tc>
          <w:tcPr>
            <w:tcW w:w="1087" w:type="pct"/>
            <w:vAlign w:val="center"/>
          </w:tcPr>
          <w:p w14:paraId="54DEDBB5" w14:textId="77777777" w:rsidR="00EE64EA" w:rsidRPr="00505EC0" w:rsidRDefault="00EE64EA" w:rsidP="0001093A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SIEXCL01ECN2</w:t>
            </w:r>
          </w:p>
        </w:tc>
        <w:tc>
          <w:tcPr>
            <w:tcW w:w="1436" w:type="pct"/>
            <w:vAlign w:val="center"/>
          </w:tcPr>
          <w:p w14:paraId="049F8CCB" w14:textId="77777777" w:rsidR="00EE64EA" w:rsidRPr="00EE64EA" w:rsidRDefault="00EE64EA" w:rsidP="000109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April 28, 2027</w:t>
            </w:r>
          </w:p>
        </w:tc>
      </w:tr>
    </w:tbl>
    <w:p w14:paraId="3FBE2E18" w14:textId="77777777" w:rsidR="0079334A" w:rsidRDefault="0079334A" w:rsidP="00423EB3">
      <w:pPr>
        <w:pStyle w:val="BodyText2"/>
        <w:tabs>
          <w:tab w:val="left" w:pos="9214"/>
        </w:tabs>
        <w:spacing w:line="276" w:lineRule="auto"/>
        <w:ind w:right="-141"/>
        <w:jc w:val="both"/>
        <w:rPr>
          <w:rFonts w:ascii="Ebrima" w:hAnsi="Ebrima" w:cs="Arial"/>
          <w:b w:val="0"/>
          <w:lang w:val="sv-SE"/>
        </w:rPr>
      </w:pPr>
    </w:p>
    <w:p w14:paraId="7DFB31FF" w14:textId="53EF9742" w:rsidR="00EE64EA" w:rsidRPr="00505EC0" w:rsidRDefault="008E6361" w:rsidP="00423EB3">
      <w:pPr>
        <w:pStyle w:val="BodyText2"/>
        <w:tabs>
          <w:tab w:val="left" w:pos="9214"/>
        </w:tabs>
        <w:spacing w:line="276" w:lineRule="auto"/>
        <w:ind w:right="-141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 xml:space="preserve"> </w:t>
      </w:r>
      <w:r w:rsidR="00EE64EA">
        <w:rPr>
          <w:rFonts w:ascii="Ebrima" w:hAnsi="Ebrima"/>
          <w:b w:val="0"/>
        </w:rPr>
        <w:t>Details of activities</w:t>
      </w: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417"/>
        <w:gridCol w:w="1418"/>
        <w:gridCol w:w="1418"/>
        <w:gridCol w:w="1453"/>
        <w:gridCol w:w="1558"/>
      </w:tblGrid>
      <w:tr w:rsidR="00EE64EA" w:rsidRPr="00505EC0" w14:paraId="395B07B8" w14:textId="77777777" w:rsidTr="00EE64EA">
        <w:trPr>
          <w:trHeight w:val="101"/>
        </w:trPr>
        <w:tc>
          <w:tcPr>
            <w:tcW w:w="843" w:type="pct"/>
            <w:vAlign w:val="center"/>
          </w:tcPr>
          <w:p w14:paraId="28B9F754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b/>
                <w:w w:val="104"/>
              </w:rPr>
            </w:pPr>
            <w:r>
              <w:rPr>
                <w:rFonts w:ascii="Ebrima" w:hAnsi="Ebrima"/>
                <w:b/>
              </w:rPr>
              <w:t>Securities Code</w:t>
            </w:r>
          </w:p>
        </w:tc>
        <w:tc>
          <w:tcPr>
            <w:tcW w:w="814" w:type="pct"/>
            <w:vAlign w:val="center"/>
          </w:tcPr>
          <w:p w14:paraId="01521661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Payment Frequency</w:t>
            </w:r>
          </w:p>
        </w:tc>
        <w:tc>
          <w:tcPr>
            <w:tcW w:w="814" w:type="pct"/>
            <w:vAlign w:val="center"/>
          </w:tcPr>
          <w:p w14:paraId="453137F1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Payment Type</w:t>
            </w:r>
          </w:p>
        </w:tc>
        <w:tc>
          <w:tcPr>
            <w:tcW w:w="814" w:type="pct"/>
            <w:vAlign w:val="center"/>
          </w:tcPr>
          <w:p w14:paraId="0C3BF4F1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Payment Number</w:t>
            </w:r>
          </w:p>
        </w:tc>
        <w:tc>
          <w:tcPr>
            <w:tcW w:w="834" w:type="pct"/>
            <w:vAlign w:val="center"/>
          </w:tcPr>
          <w:p w14:paraId="73307F10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Coupon Rate (%)</w:t>
            </w:r>
          </w:p>
        </w:tc>
        <w:tc>
          <w:tcPr>
            <w:tcW w:w="880" w:type="pct"/>
            <w:vAlign w:val="center"/>
          </w:tcPr>
          <w:p w14:paraId="26878DE3" w14:textId="77777777" w:rsidR="00EE64EA" w:rsidRPr="00505EC0" w:rsidRDefault="00EE64EA" w:rsidP="00EE64E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4"/>
              <w:jc w:val="center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 xml:space="preserve">Additional </w:t>
            </w:r>
            <w:proofErr w:type="spellStart"/>
            <w:r>
              <w:rPr>
                <w:rFonts w:ascii="Ebrima" w:hAnsi="Ebrima"/>
                <w:b/>
              </w:rPr>
              <w:t>Ijara</w:t>
            </w:r>
            <w:proofErr w:type="spellEnd"/>
            <w:r>
              <w:rPr>
                <w:rFonts w:ascii="Ebrima" w:hAnsi="Ebrima"/>
                <w:b/>
              </w:rPr>
              <w:t xml:space="preserve"> Fee Installment</w:t>
            </w:r>
          </w:p>
        </w:tc>
      </w:tr>
      <w:tr w:rsidR="00EE64EA" w:rsidRPr="00505EC0" w14:paraId="5CCAD05E" w14:textId="77777777" w:rsidTr="00EE64EA">
        <w:trPr>
          <w:trHeight w:val="221"/>
        </w:trPr>
        <w:tc>
          <w:tcPr>
            <w:tcW w:w="843" w:type="pct"/>
            <w:vAlign w:val="center"/>
          </w:tcPr>
          <w:p w14:paraId="7443F7E8" w14:textId="77777777" w:rsidR="00EE64EA" w:rsidRPr="00505EC0" w:rsidRDefault="00EE64EA" w:rsidP="00423EB3">
            <w:pPr>
              <w:spacing w:line="276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SIEXCL01ECN2</w:t>
            </w:r>
          </w:p>
        </w:tc>
        <w:tc>
          <w:tcPr>
            <w:tcW w:w="814" w:type="pct"/>
            <w:vAlign w:val="center"/>
          </w:tcPr>
          <w:p w14:paraId="6E8A65DB" w14:textId="77777777" w:rsidR="00EE64EA" w:rsidRPr="00505EC0" w:rsidRDefault="00EE64EA" w:rsidP="00423EB3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Quarterly</w:t>
            </w:r>
          </w:p>
        </w:tc>
        <w:tc>
          <w:tcPr>
            <w:tcW w:w="814" w:type="pct"/>
            <w:vAlign w:val="center"/>
          </w:tcPr>
          <w:p w14:paraId="4E727606" w14:textId="77777777" w:rsidR="00EE64EA" w:rsidRPr="00505EC0" w:rsidRDefault="00EE64EA" w:rsidP="00423EB3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Fee</w:t>
            </w:r>
          </w:p>
        </w:tc>
        <w:tc>
          <w:tcPr>
            <w:tcW w:w="814" w:type="pct"/>
            <w:vAlign w:val="center"/>
          </w:tcPr>
          <w:p w14:paraId="18269A93" w14:textId="77777777" w:rsidR="00EE64EA" w:rsidRPr="00505EC0" w:rsidRDefault="00EE64EA" w:rsidP="00EE64EA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33</w:t>
            </w:r>
          </w:p>
        </w:tc>
        <w:tc>
          <w:tcPr>
            <w:tcW w:w="834" w:type="pct"/>
            <w:vAlign w:val="center"/>
          </w:tcPr>
          <w:p w14:paraId="1C04BD71" w14:textId="77777777" w:rsidR="00EE64EA" w:rsidRPr="00505EC0" w:rsidRDefault="00EE64EA" w:rsidP="002E48A2">
            <w:pPr>
              <w:spacing w:line="276" w:lineRule="auto"/>
              <w:ind w:left="-57" w:right="-5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 xml:space="preserve">9.4 </w:t>
            </w:r>
            <w:proofErr w:type="spellStart"/>
            <w:r>
              <w:rPr>
                <w:rFonts w:ascii="Ebrima" w:hAnsi="Ebrima"/>
              </w:rPr>
              <w:t>p.a</w:t>
            </w:r>
            <w:proofErr w:type="spellEnd"/>
          </w:p>
        </w:tc>
        <w:tc>
          <w:tcPr>
            <w:tcW w:w="880" w:type="pct"/>
            <w:vAlign w:val="center"/>
          </w:tcPr>
          <w:p w14:paraId="7CE448D3" w14:textId="77777777" w:rsidR="00EE64EA" w:rsidRPr="008A136D" w:rsidRDefault="00EE64EA" w:rsidP="004219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ascii="Ebrima" w:hAnsi="Ebrima" w:cs="Arial"/>
                <w:b/>
              </w:rPr>
            </w:pPr>
            <w:r>
              <w:rPr>
                <w:rFonts w:ascii="Ebrima" w:hAnsi="Ebrima"/>
                <w:b/>
              </w:rPr>
              <w:t>Rp285,600,000</w:t>
            </w:r>
          </w:p>
        </w:tc>
      </w:tr>
    </w:tbl>
    <w:p w14:paraId="6BA8A0F4" w14:textId="77777777" w:rsidR="000545D8" w:rsidRPr="00505EC0" w:rsidRDefault="000545D8" w:rsidP="00423EB3">
      <w:pPr>
        <w:widowControl w:val="0"/>
        <w:autoSpaceDE w:val="0"/>
        <w:autoSpaceDN w:val="0"/>
        <w:adjustRightInd w:val="0"/>
        <w:spacing w:line="276" w:lineRule="auto"/>
        <w:ind w:right="74"/>
        <w:rPr>
          <w:rFonts w:ascii="Ebrima" w:hAnsi="Ebrima" w:cs="Arial"/>
        </w:rPr>
      </w:pPr>
    </w:p>
    <w:p w14:paraId="3F33A5AE" w14:textId="77777777" w:rsidR="005E18AB" w:rsidRPr="00505EC0" w:rsidRDefault="000545D8" w:rsidP="00423EB3">
      <w:pPr>
        <w:widowControl w:val="0"/>
        <w:autoSpaceDE w:val="0"/>
        <w:autoSpaceDN w:val="0"/>
        <w:adjustRightInd w:val="0"/>
        <w:spacing w:after="120" w:line="276" w:lineRule="auto"/>
        <w:ind w:left="11"/>
        <w:rPr>
          <w:rFonts w:ascii="Ebrima" w:hAnsi="Ebrima" w:cs="Arial"/>
          <w:position w:val="-1"/>
        </w:rPr>
      </w:pPr>
      <w:r>
        <w:rPr>
          <w:rFonts w:ascii="Ebrima" w:hAnsi="Ebrima"/>
        </w:rPr>
        <w:t xml:space="preserve">The Sukuk’s </w:t>
      </w:r>
      <w:proofErr w:type="spellStart"/>
      <w:r>
        <w:rPr>
          <w:rFonts w:ascii="Ebrima" w:hAnsi="Ebrima"/>
        </w:rPr>
        <w:t>Ijara</w:t>
      </w:r>
      <w:proofErr w:type="spellEnd"/>
      <w:r>
        <w:rPr>
          <w:rFonts w:ascii="Ebrima" w:hAnsi="Ebrima"/>
        </w:rPr>
        <w:t xml:space="preserve"> Fee and Additional </w:t>
      </w:r>
      <w:proofErr w:type="spellStart"/>
      <w:r>
        <w:rPr>
          <w:rFonts w:ascii="Ebrima" w:hAnsi="Ebrima"/>
        </w:rPr>
        <w:t>Ijara</w:t>
      </w:r>
      <w:proofErr w:type="spellEnd"/>
      <w:r>
        <w:rPr>
          <w:rFonts w:ascii="Ebrima" w:hAnsi="Ebrima"/>
        </w:rPr>
        <w:t xml:space="preserve"> Return Installment Payments will be scheduled as follows: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991"/>
        <w:gridCol w:w="5933"/>
        <w:gridCol w:w="1865"/>
      </w:tblGrid>
      <w:tr w:rsidR="000545D8" w:rsidRPr="00505EC0" w14:paraId="77A9DD77" w14:textId="77777777" w:rsidTr="00AA3767">
        <w:trPr>
          <w:trHeight w:val="222"/>
        </w:trPr>
        <w:tc>
          <w:tcPr>
            <w:tcW w:w="543" w:type="dxa"/>
          </w:tcPr>
          <w:p w14:paraId="3B67D390" w14:textId="77777777" w:rsidR="000545D8" w:rsidRPr="00505EC0" w:rsidRDefault="000545D8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b/>
                <w:position w:val="-1"/>
              </w:rPr>
            </w:pPr>
            <w:r>
              <w:rPr>
                <w:rFonts w:ascii="Ebrima" w:hAnsi="Ebrima"/>
                <w:b/>
              </w:rPr>
              <w:t>Number</w:t>
            </w:r>
          </w:p>
        </w:tc>
        <w:tc>
          <w:tcPr>
            <w:tcW w:w="6290" w:type="dxa"/>
          </w:tcPr>
          <w:p w14:paraId="192BFC81" w14:textId="77777777" w:rsidR="000545D8" w:rsidRPr="00505EC0" w:rsidRDefault="000545D8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b/>
                <w:position w:val="-1"/>
              </w:rPr>
            </w:pPr>
            <w:r>
              <w:rPr>
                <w:rFonts w:ascii="Ebrima" w:hAnsi="Ebrima"/>
                <w:b/>
              </w:rPr>
              <w:t>Activity</w:t>
            </w:r>
          </w:p>
        </w:tc>
        <w:tc>
          <w:tcPr>
            <w:tcW w:w="1956" w:type="dxa"/>
          </w:tcPr>
          <w:p w14:paraId="47829563" w14:textId="77777777" w:rsidR="000545D8" w:rsidRPr="00505EC0" w:rsidRDefault="000545D8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b/>
                <w:position w:val="-1"/>
              </w:rPr>
            </w:pPr>
            <w:r>
              <w:rPr>
                <w:rFonts w:ascii="Ebrima" w:hAnsi="Ebrima"/>
                <w:b/>
              </w:rPr>
              <w:t>Date</w:t>
            </w:r>
          </w:p>
        </w:tc>
      </w:tr>
      <w:tr w:rsidR="000A4F2B" w:rsidRPr="00505EC0" w14:paraId="442F4021" w14:textId="77777777" w:rsidTr="00423EB3">
        <w:trPr>
          <w:trHeight w:val="445"/>
        </w:trPr>
        <w:tc>
          <w:tcPr>
            <w:tcW w:w="543" w:type="dxa"/>
            <w:vAlign w:val="center"/>
          </w:tcPr>
          <w:p w14:paraId="4AA20AA7" w14:textId="77777777" w:rsidR="000A4F2B" w:rsidRPr="00505EC0" w:rsidRDefault="000A4F2B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position w:val="-1"/>
              </w:rPr>
            </w:pPr>
            <w:r>
              <w:rPr>
                <w:rFonts w:ascii="Ebrima" w:hAnsi="Ebrima"/>
              </w:rPr>
              <w:t>1.</w:t>
            </w:r>
          </w:p>
        </w:tc>
        <w:tc>
          <w:tcPr>
            <w:tcW w:w="6290" w:type="dxa"/>
            <w:vAlign w:val="center"/>
          </w:tcPr>
          <w:p w14:paraId="457F7C37" w14:textId="77777777" w:rsidR="000A4F2B" w:rsidRPr="00505EC0" w:rsidRDefault="000A4F2B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brima" w:hAnsi="Ebrima" w:cs="Arial"/>
                <w:position w:val="-1"/>
              </w:rPr>
            </w:pPr>
            <w:r>
              <w:rPr>
                <w:rFonts w:ascii="Ebrima" w:hAnsi="Ebrima"/>
              </w:rPr>
              <w:t xml:space="preserve">Recording Date for Sukuk Holders’ eligibility to receive the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Fee and Additional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Return Installment  Payments.</w:t>
            </w:r>
          </w:p>
        </w:tc>
        <w:tc>
          <w:tcPr>
            <w:tcW w:w="1956" w:type="dxa"/>
            <w:vAlign w:val="center"/>
          </w:tcPr>
          <w:p w14:paraId="46CD11C3" w14:textId="77777777" w:rsidR="000A4F2B" w:rsidRPr="00505EC0" w:rsidRDefault="008F7ACD" w:rsidP="00423EB3">
            <w:pPr>
              <w:spacing w:line="276" w:lineRule="auto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July 22, 2025</w:t>
            </w:r>
          </w:p>
        </w:tc>
      </w:tr>
      <w:tr w:rsidR="00423EB3" w:rsidRPr="00505EC0" w14:paraId="120B59F8" w14:textId="77777777" w:rsidTr="00423EB3">
        <w:trPr>
          <w:trHeight w:val="445"/>
        </w:trPr>
        <w:tc>
          <w:tcPr>
            <w:tcW w:w="543" w:type="dxa"/>
            <w:vAlign w:val="center"/>
          </w:tcPr>
          <w:p w14:paraId="63BC071B" w14:textId="77777777" w:rsidR="00423EB3" w:rsidRPr="00505EC0" w:rsidRDefault="00423EB3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position w:val="-1"/>
              </w:rPr>
            </w:pPr>
            <w:r>
              <w:rPr>
                <w:rFonts w:ascii="Ebrima" w:hAnsi="Ebrima"/>
              </w:rPr>
              <w:t>2.</w:t>
            </w:r>
          </w:p>
        </w:tc>
        <w:tc>
          <w:tcPr>
            <w:tcW w:w="6290" w:type="dxa"/>
            <w:vAlign w:val="center"/>
          </w:tcPr>
          <w:p w14:paraId="3F697DD6" w14:textId="77777777" w:rsidR="00423EB3" w:rsidRPr="00505EC0" w:rsidRDefault="007F0405" w:rsidP="007F0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 xml:space="preserve">Start and End Dates for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Fee and Additional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Return Installment Payment </w:t>
            </w:r>
            <w:proofErr w:type="spellStart"/>
            <w:r>
              <w:rPr>
                <w:rFonts w:ascii="Ebrima" w:hAnsi="Ebrima"/>
              </w:rPr>
              <w:t>Periode</w:t>
            </w:r>
            <w:proofErr w:type="spellEnd"/>
          </w:p>
        </w:tc>
        <w:tc>
          <w:tcPr>
            <w:tcW w:w="1956" w:type="dxa"/>
            <w:vAlign w:val="center"/>
          </w:tcPr>
          <w:p w14:paraId="4D0D4B37" w14:textId="77777777" w:rsidR="00423EB3" w:rsidRPr="00423EB3" w:rsidRDefault="0042196F" w:rsidP="00423EB3">
            <w:pPr>
              <w:spacing w:line="276" w:lineRule="auto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April 28 - July 28, 2025</w:t>
            </w:r>
          </w:p>
        </w:tc>
      </w:tr>
      <w:tr w:rsidR="000A4F2B" w:rsidRPr="00505EC0" w14:paraId="752803A3" w14:textId="77777777" w:rsidTr="00423EB3">
        <w:trPr>
          <w:trHeight w:val="235"/>
        </w:trPr>
        <w:tc>
          <w:tcPr>
            <w:tcW w:w="543" w:type="dxa"/>
            <w:vAlign w:val="center"/>
          </w:tcPr>
          <w:p w14:paraId="58874287" w14:textId="77777777" w:rsidR="000A4F2B" w:rsidRPr="00505EC0" w:rsidRDefault="00423EB3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position w:val="-1"/>
              </w:rPr>
            </w:pPr>
            <w:r>
              <w:rPr>
                <w:rFonts w:ascii="Ebrima" w:hAnsi="Ebrima"/>
              </w:rPr>
              <w:t>3.</w:t>
            </w:r>
          </w:p>
        </w:tc>
        <w:tc>
          <w:tcPr>
            <w:tcW w:w="6290" w:type="dxa"/>
            <w:vAlign w:val="center"/>
          </w:tcPr>
          <w:p w14:paraId="5810212A" w14:textId="77777777" w:rsidR="000A4F2B" w:rsidRPr="00505EC0" w:rsidRDefault="000A4F2B" w:rsidP="007F0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brima" w:hAnsi="Ebrima" w:cs="Arial"/>
                <w:position w:val="-1"/>
              </w:rPr>
            </w:pP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Fee and Additional </w:t>
            </w:r>
            <w:proofErr w:type="spellStart"/>
            <w:r>
              <w:rPr>
                <w:rFonts w:ascii="Ebrima" w:hAnsi="Ebrima"/>
              </w:rPr>
              <w:t>Ijara</w:t>
            </w:r>
            <w:proofErr w:type="spellEnd"/>
            <w:r>
              <w:rPr>
                <w:rFonts w:ascii="Ebrima" w:hAnsi="Ebrima"/>
              </w:rPr>
              <w:t xml:space="preserve"> Return Installment Payment Date</w:t>
            </w:r>
          </w:p>
        </w:tc>
        <w:tc>
          <w:tcPr>
            <w:tcW w:w="1956" w:type="dxa"/>
            <w:vAlign w:val="center"/>
          </w:tcPr>
          <w:p w14:paraId="7DD52637" w14:textId="77777777" w:rsidR="000A4F2B" w:rsidRPr="00505EC0" w:rsidRDefault="009C7880" w:rsidP="00423EB3">
            <w:pPr>
              <w:spacing w:line="276" w:lineRule="auto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July 28, 2025</w:t>
            </w:r>
          </w:p>
        </w:tc>
      </w:tr>
      <w:tr w:rsidR="000A4F2B" w:rsidRPr="00505EC0" w14:paraId="663FFC18" w14:textId="77777777" w:rsidTr="00423EB3">
        <w:trPr>
          <w:trHeight w:val="235"/>
        </w:trPr>
        <w:tc>
          <w:tcPr>
            <w:tcW w:w="543" w:type="dxa"/>
            <w:vAlign w:val="center"/>
          </w:tcPr>
          <w:p w14:paraId="1B208791" w14:textId="77777777" w:rsidR="000A4F2B" w:rsidRPr="00505EC0" w:rsidRDefault="00423EB3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 w:cs="Arial"/>
                <w:position w:val="-1"/>
              </w:rPr>
            </w:pPr>
            <w:r>
              <w:rPr>
                <w:rFonts w:ascii="Ebrima" w:hAnsi="Ebrima"/>
              </w:rPr>
              <w:t>4.</w:t>
            </w:r>
          </w:p>
        </w:tc>
        <w:tc>
          <w:tcPr>
            <w:tcW w:w="6290" w:type="dxa"/>
            <w:vAlign w:val="center"/>
          </w:tcPr>
          <w:p w14:paraId="49FD8930" w14:textId="77777777" w:rsidR="000A4F2B" w:rsidRPr="00505EC0" w:rsidRDefault="000A4F2B" w:rsidP="00423E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Submission Date for Certificate of Domicile / Directorate General of Taxation (SKD/DGT) Proof of Receipt</w:t>
            </w:r>
          </w:p>
        </w:tc>
        <w:tc>
          <w:tcPr>
            <w:tcW w:w="1956" w:type="dxa"/>
            <w:vAlign w:val="center"/>
          </w:tcPr>
          <w:p w14:paraId="1E84C32B" w14:textId="77777777" w:rsidR="000A4F2B" w:rsidRPr="00505EC0" w:rsidRDefault="008F7ACD" w:rsidP="00423EB3">
            <w:pPr>
              <w:spacing w:line="276" w:lineRule="auto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July 24, 2025</w:t>
            </w:r>
          </w:p>
        </w:tc>
      </w:tr>
    </w:tbl>
    <w:p w14:paraId="6C81FED2" w14:textId="77777777" w:rsidR="008E6361" w:rsidRDefault="008E6361" w:rsidP="008A136D">
      <w:pPr>
        <w:pStyle w:val="BodyText2"/>
        <w:spacing w:line="276" w:lineRule="auto"/>
        <w:ind w:right="426"/>
        <w:jc w:val="both"/>
        <w:rPr>
          <w:rFonts w:ascii="Ebrima" w:hAnsi="Ebrima"/>
          <w:b w:val="0"/>
        </w:rPr>
      </w:pPr>
    </w:p>
    <w:p w14:paraId="3FA5456B" w14:textId="77777777" w:rsidR="008E6361" w:rsidRDefault="008E6361" w:rsidP="008A136D">
      <w:pPr>
        <w:pStyle w:val="BodyText2"/>
        <w:spacing w:line="276" w:lineRule="auto"/>
        <w:ind w:right="426"/>
        <w:jc w:val="both"/>
        <w:rPr>
          <w:rFonts w:ascii="Ebrima" w:hAnsi="Ebrima"/>
          <w:b w:val="0"/>
        </w:rPr>
      </w:pPr>
    </w:p>
    <w:p w14:paraId="3FB71CC1" w14:textId="5219B799" w:rsidR="008A136D" w:rsidRDefault="008A136D" w:rsidP="008A136D">
      <w:pPr>
        <w:pStyle w:val="BodyText2"/>
        <w:spacing w:line="276" w:lineRule="auto"/>
        <w:ind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lastRenderedPageBreak/>
        <w:t>Notes:</w:t>
      </w:r>
    </w:p>
    <w:p w14:paraId="6ED6F180" w14:textId="6406420B" w:rsidR="00EF0BCB" w:rsidRDefault="008A136D" w:rsidP="00EF0BCB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 xml:space="preserve">“The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Return Installment for the XL Axiata Shelf Registration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I Phase II Year 2017 Series E is made based on the downgrade of the rating by Fitch, from </w:t>
      </w:r>
      <w:r w:rsidR="008E6361">
        <w:rPr>
          <w:rFonts w:ascii="Ebrima" w:hAnsi="Ebrima"/>
          <w:b w:val="0"/>
        </w:rPr>
        <w:t>‘</w:t>
      </w:r>
      <w:r>
        <w:rPr>
          <w:rFonts w:ascii="Ebrima" w:hAnsi="Ebrima"/>
          <w:b w:val="0"/>
        </w:rPr>
        <w:t>AAA</w:t>
      </w:r>
      <w:r w:rsidR="008E6361">
        <w:rPr>
          <w:rFonts w:ascii="Ebrima" w:hAnsi="Ebrima"/>
          <w:b w:val="0"/>
        </w:rPr>
        <w:t>’</w:t>
      </w:r>
      <w:r>
        <w:rPr>
          <w:rFonts w:ascii="Ebrima" w:hAnsi="Ebrima"/>
          <w:b w:val="0"/>
        </w:rPr>
        <w:t xml:space="preserve"> to </w:t>
      </w:r>
      <w:r w:rsidR="008E6361">
        <w:rPr>
          <w:rFonts w:ascii="Ebrima" w:hAnsi="Ebrima"/>
          <w:b w:val="0"/>
        </w:rPr>
        <w:t>‘</w:t>
      </w:r>
      <w:r>
        <w:rPr>
          <w:rFonts w:ascii="Ebrima" w:hAnsi="Ebrima"/>
          <w:b w:val="0"/>
        </w:rPr>
        <w:t>AA+</w:t>
      </w:r>
      <w:r w:rsidR="008E6361">
        <w:rPr>
          <w:rFonts w:ascii="Ebrima" w:hAnsi="Ebrima"/>
          <w:b w:val="0"/>
        </w:rPr>
        <w:t>’</w:t>
      </w:r>
      <w:r>
        <w:rPr>
          <w:rFonts w:ascii="Ebrima" w:hAnsi="Ebrima"/>
          <w:b w:val="0"/>
        </w:rPr>
        <w:t xml:space="preserve"> as per the results of the General Meeting of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Holders and the Addendum to the Issuance Agreement. As a result, the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holders will receive an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Installment of 0.34% p.a. (zero point three-four percent), with the provision that the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Installment will begin to be paid on the next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Payment Date, and will be prorated from the date the rating agency released the downgrade of the XL Axiata Shelf Registration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I Phase II Year 2017 rating on March 3, 2025, which was </w:t>
      </w:r>
      <w:r w:rsidR="008E6361">
        <w:rPr>
          <w:rFonts w:ascii="Ebrima" w:hAnsi="Ebrima"/>
          <w:b w:val="0"/>
        </w:rPr>
        <w:t>‘</w:t>
      </w:r>
      <w:r>
        <w:rPr>
          <w:rFonts w:ascii="Ebrima" w:hAnsi="Ebrima"/>
          <w:b w:val="0"/>
        </w:rPr>
        <w:t>AAA (</w:t>
      </w:r>
      <w:proofErr w:type="spellStart"/>
      <w:r>
        <w:rPr>
          <w:rFonts w:ascii="Ebrima" w:hAnsi="Ebrima"/>
          <w:b w:val="0"/>
        </w:rPr>
        <w:t>idn</w:t>
      </w:r>
      <w:proofErr w:type="spellEnd"/>
      <w:r>
        <w:rPr>
          <w:rFonts w:ascii="Ebrima" w:hAnsi="Ebrima"/>
          <w:b w:val="0"/>
        </w:rPr>
        <w:t>)</w:t>
      </w:r>
      <w:r w:rsidR="008E6361">
        <w:rPr>
          <w:rFonts w:ascii="Ebrima" w:hAnsi="Ebrima"/>
          <w:b w:val="0"/>
        </w:rPr>
        <w:t>’</w:t>
      </w:r>
      <w:r>
        <w:rPr>
          <w:rFonts w:ascii="Ebrima" w:hAnsi="Ebrima"/>
          <w:b w:val="0"/>
        </w:rPr>
        <w:t>.</w:t>
      </w:r>
      <w:r w:rsidR="008E6361">
        <w:rPr>
          <w:rFonts w:ascii="Ebrima" w:hAnsi="Ebrima"/>
          <w:b w:val="0"/>
        </w:rPr>
        <w:t>”</w:t>
      </w:r>
    </w:p>
    <w:p w14:paraId="46FBB017" w14:textId="77777777" w:rsidR="00EF0BCB" w:rsidRDefault="00EF0BCB" w:rsidP="00EF0BCB">
      <w:pPr>
        <w:pStyle w:val="BodyText2"/>
        <w:widowControl w:val="0"/>
        <w:autoSpaceDE w:val="0"/>
        <w:autoSpaceDN w:val="0"/>
        <w:adjustRightInd w:val="0"/>
        <w:spacing w:line="276" w:lineRule="auto"/>
        <w:ind w:left="426" w:right="426"/>
        <w:jc w:val="both"/>
        <w:rPr>
          <w:rFonts w:ascii="Ebrima" w:hAnsi="Ebrima" w:cs="Arial"/>
          <w:b w:val="0"/>
        </w:rPr>
      </w:pPr>
    </w:p>
    <w:p w14:paraId="409F2E1C" w14:textId="0EBABCB6" w:rsidR="008A136D" w:rsidRPr="00EF0BCB" w:rsidRDefault="008A136D" w:rsidP="00EF0BCB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 xml:space="preserve">If in the future, the rating of the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Sukuk increases back to </w:t>
      </w:r>
      <w:r w:rsidR="008E6361">
        <w:rPr>
          <w:rFonts w:ascii="Ebrima" w:hAnsi="Ebrima"/>
          <w:b w:val="0"/>
        </w:rPr>
        <w:t>‘</w:t>
      </w:r>
      <w:r>
        <w:rPr>
          <w:rFonts w:ascii="Ebrima" w:hAnsi="Ebrima"/>
          <w:b w:val="0"/>
        </w:rPr>
        <w:t>AAA (</w:t>
      </w:r>
      <w:proofErr w:type="spellStart"/>
      <w:r>
        <w:rPr>
          <w:rFonts w:ascii="Ebrima" w:hAnsi="Ebrima"/>
          <w:b w:val="0"/>
        </w:rPr>
        <w:t>idn</w:t>
      </w:r>
      <w:proofErr w:type="spellEnd"/>
      <w:r>
        <w:rPr>
          <w:rFonts w:ascii="Ebrima" w:hAnsi="Ebrima"/>
          <w:b w:val="0"/>
        </w:rPr>
        <w:t>)</w:t>
      </w:r>
      <w:r w:rsidR="008E6361">
        <w:rPr>
          <w:rFonts w:ascii="Ebrima" w:hAnsi="Ebrima"/>
          <w:b w:val="0"/>
        </w:rPr>
        <w:t>’</w:t>
      </w:r>
      <w:r>
        <w:rPr>
          <w:rFonts w:ascii="Ebrima" w:hAnsi="Ebrima"/>
          <w:b w:val="0"/>
        </w:rPr>
        <w:t xml:space="preserve">, then the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Installment as per the provisions in point 1 above will no longer apply.</w:t>
      </w:r>
    </w:p>
    <w:p w14:paraId="35B8B426" w14:textId="77777777" w:rsidR="007C4EB3" w:rsidRPr="007C4EB3" w:rsidRDefault="007C4EB3" w:rsidP="007C4EB3">
      <w:pPr>
        <w:pStyle w:val="BodyText2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ind w:left="426" w:right="426"/>
        <w:jc w:val="both"/>
        <w:rPr>
          <w:rFonts w:ascii="Ebrima" w:hAnsi="Ebrima" w:cs="Arial"/>
          <w:b w:val="0"/>
        </w:rPr>
      </w:pPr>
      <w:r>
        <w:rPr>
          <w:rFonts w:ascii="Ebrima" w:hAnsi="Ebrima"/>
          <w:b w:val="0"/>
        </w:rPr>
        <w:t xml:space="preserve">The Bond Member Entitlement Report (BMER) for the Additional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Installment will be available in ORCHiD on the </w:t>
      </w:r>
      <w:proofErr w:type="spellStart"/>
      <w:r>
        <w:rPr>
          <w:rFonts w:ascii="Ebrima" w:hAnsi="Ebrima"/>
          <w:b w:val="0"/>
        </w:rPr>
        <w:t>Ijara</w:t>
      </w:r>
      <w:proofErr w:type="spellEnd"/>
      <w:r>
        <w:rPr>
          <w:rFonts w:ascii="Ebrima" w:hAnsi="Ebrima"/>
          <w:b w:val="0"/>
        </w:rPr>
        <w:t xml:space="preserve"> Fee Payment Date on July 28, 2025.</w:t>
      </w:r>
    </w:p>
    <w:p w14:paraId="09E3F6B1" w14:textId="77777777" w:rsidR="008A136D" w:rsidRDefault="008A136D" w:rsidP="00423EB3">
      <w:pPr>
        <w:widowControl w:val="0"/>
        <w:autoSpaceDE w:val="0"/>
        <w:autoSpaceDN w:val="0"/>
        <w:adjustRightInd w:val="0"/>
        <w:spacing w:line="276" w:lineRule="auto"/>
        <w:rPr>
          <w:rFonts w:ascii="Ebrima" w:hAnsi="Ebrima" w:cs="Arial"/>
        </w:rPr>
      </w:pPr>
    </w:p>
    <w:p w14:paraId="097B9276" w14:textId="77777777" w:rsidR="000545D8" w:rsidRPr="00505EC0" w:rsidRDefault="009B5790" w:rsidP="00423EB3">
      <w:pPr>
        <w:widowControl w:val="0"/>
        <w:autoSpaceDE w:val="0"/>
        <w:autoSpaceDN w:val="0"/>
        <w:adjustRightInd w:val="0"/>
        <w:spacing w:line="276" w:lineRule="auto"/>
        <w:rPr>
          <w:rFonts w:ascii="Ebrima" w:hAnsi="Ebrima" w:cs="Arial"/>
        </w:rPr>
      </w:pPr>
      <w:r>
        <w:rPr>
          <w:rFonts w:ascii="Ebrima" w:hAnsi="Ebrima"/>
        </w:rPr>
        <w:t>Thank you for your kind attention and cooperation.</w:t>
      </w:r>
    </w:p>
    <w:p w14:paraId="64AE6825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11DE44E3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</w:rPr>
        <w:t>Sincerely yours,</w:t>
      </w:r>
    </w:p>
    <w:p w14:paraId="17056C18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46108DF7" w14:textId="77777777" w:rsidR="000545D8" w:rsidRPr="00505EC0" w:rsidRDefault="000545D8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04230DE2" w14:textId="77777777" w:rsidR="00FD7395" w:rsidRPr="00505EC0" w:rsidRDefault="00FD7395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42"/>
      </w:tblGrid>
      <w:tr w:rsidR="00AE6BB1" w:rsidRPr="00505EC0" w14:paraId="1FD105B3" w14:textId="77777777" w:rsidTr="008E6361">
        <w:tc>
          <w:tcPr>
            <w:tcW w:w="4565" w:type="dxa"/>
          </w:tcPr>
          <w:p w14:paraId="36111431" w14:textId="77777777" w:rsidR="0011268C" w:rsidRPr="00505EC0" w:rsidRDefault="008F7ACD" w:rsidP="00D3785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  <w:b/>
                <w:bCs/>
              </w:rPr>
            </w:pPr>
            <w:r>
              <w:rPr>
                <w:rFonts w:ascii="Ebrima" w:hAnsi="Ebrima"/>
                <w:b/>
              </w:rPr>
              <w:t>Yulia Purnama Sari</w:t>
            </w:r>
          </w:p>
          <w:p w14:paraId="484064EE" w14:textId="77777777" w:rsidR="00AE6BB1" w:rsidRPr="00505EC0" w:rsidRDefault="00101F6E" w:rsidP="00B31BDE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50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Head of Custodian Services Division</w:t>
            </w:r>
          </w:p>
          <w:p w14:paraId="696CE316" w14:textId="77777777" w:rsidR="005F1349" w:rsidRPr="00505EC0" w:rsidRDefault="005F1349" w:rsidP="00B31BDE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50"/>
              <w:rPr>
                <w:rFonts w:ascii="Ebrima" w:hAnsi="Ebrima" w:cs="Arial"/>
              </w:rPr>
            </w:pPr>
          </w:p>
        </w:tc>
        <w:tc>
          <w:tcPr>
            <w:tcW w:w="4542" w:type="dxa"/>
          </w:tcPr>
          <w:p w14:paraId="1150C106" w14:textId="77777777" w:rsidR="00AE6BB1" w:rsidRPr="00505EC0" w:rsidRDefault="000A4F2B" w:rsidP="00AE6BB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  <w:b/>
                <w:bCs/>
              </w:rPr>
            </w:pPr>
            <w:r>
              <w:rPr>
                <w:rFonts w:ascii="Ebrima" w:hAnsi="Ebrima"/>
                <w:b/>
              </w:rPr>
              <w:t xml:space="preserve">AM. </w:t>
            </w:r>
            <w:proofErr w:type="spellStart"/>
            <w:r>
              <w:rPr>
                <w:rFonts w:ascii="Ebrima" w:hAnsi="Ebrima"/>
                <w:b/>
              </w:rPr>
              <w:t>Anggita</w:t>
            </w:r>
            <w:proofErr w:type="spellEnd"/>
            <w:r>
              <w:rPr>
                <w:rFonts w:ascii="Ebrima" w:hAnsi="Ebrima"/>
                <w:b/>
              </w:rPr>
              <w:t xml:space="preserve"> Maharani</w:t>
            </w:r>
          </w:p>
          <w:p w14:paraId="6209CA96" w14:textId="77777777" w:rsidR="00AE6BB1" w:rsidRPr="00505EC0" w:rsidRDefault="00AE6BB1" w:rsidP="00AE6BB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Head of Securities Management Unit</w:t>
            </w:r>
          </w:p>
          <w:p w14:paraId="2CADBA4E" w14:textId="77777777" w:rsidR="00AE6BB1" w:rsidRPr="00505EC0" w:rsidRDefault="00AE6BB1" w:rsidP="00AE6BB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Ebrima" w:hAnsi="Ebrima" w:cs="Arial"/>
              </w:rPr>
            </w:pPr>
            <w:r>
              <w:rPr>
                <w:rFonts w:ascii="Ebrima" w:hAnsi="Ebrima"/>
              </w:rPr>
              <w:t>Custodian Services Division</w:t>
            </w:r>
          </w:p>
        </w:tc>
      </w:tr>
    </w:tbl>
    <w:p w14:paraId="30D462D2" w14:textId="77777777" w:rsidR="002E48A2" w:rsidRDefault="002E48A2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5EDFCE01" w14:textId="77777777" w:rsidR="00EF0BCB" w:rsidRDefault="00EF0BCB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</w:p>
    <w:p w14:paraId="4AEEF3A6" w14:textId="77777777" w:rsidR="009D0669" w:rsidRPr="00505EC0" w:rsidRDefault="00EF0BCB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0F3007" wp14:editId="5CB24273">
                <wp:simplePos x="0" y="0"/>
                <wp:positionH relativeFrom="page">
                  <wp:posOffset>0</wp:posOffset>
                </wp:positionH>
                <wp:positionV relativeFrom="page">
                  <wp:posOffset>10058400</wp:posOffset>
                </wp:positionV>
                <wp:extent cx="0" cy="0"/>
                <wp:effectExtent l="9525" t="9525" r="9525" b="952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A764D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1in,0,11in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0xwwIAADAGAAAOAAAAZHJzL2Uyb0RvYy54bWysVNtu2zAMfR+wfxD0OCC1nTppa9QpilyG&#10;AbsUaPcBiiTHxmRJk5Q43bB/HyXZadKi2DDMDzIpUiQPb9c3+1agHTe2UbLE2VmKEZdUsUZuSvz1&#10;YTW6xMg6IhkRSvISP3KLb2Zv31x3uuBjVSvBuEFgRNqi0yWundNFklha85bYM6W5BGGlTEscsGaT&#10;MEM6sN6KZJym06RThmmjKLcWbhdRiGfBflVx6r5UleUOiRJDbC6cJpxrfyaza1JsDNF1Q/swyD9E&#10;0ZJGgtODqQVxBG1N88JU21CjrKrcGVVtoqqqoTxgADRZ+gzNfU00D1ggOVYf0mT/n1n6eXdnUMOg&#10;dhhJ0kKJVoZzn3A09tnptC1A6V7fGY/P6o+KfrMgSE4knrGgg9bdJ8XACtk6FTKyr0zrXwJWtA+J&#10;fzwknu8dovGSDrcJKYYndGvde67Cc7L7aF2sFgMq5Jr1ET9AZatWQOHeJShF0xQ+NJ1Mzqd9fQ+K&#10;APJ1RfC8GWyTenBH97L3BxQivq/Bn/evlX2GCCyAkpc96WZ/0I1vehcGGvZ5qxqMoFXXEYomzkcW&#10;3APp/63a8QcVbtzLeJ6kQr6uFWUQircPtY1EcOTjO6qDVKtGiFAIIVEHfTO+iOmwSjTMC30o1mzW&#10;c2HQjvjBC58HAMZO1IzaShaM1ZywZU870ohIg74I+YRO6WH7ngmT9fMqvVpeLi/zUT6eLkd5uliM&#10;blfzfDRdZReTxfliPl9kv3z2s7yoG8a49NENU57lfzdF/b6J83mY8xMUJ2BX4XsJNjkNI+QCsAz/&#10;mOthjOLcrRV7hJEyKq4tWLNA1Mr8wKiDlVVi+31LDMdIfJCwE66yPPc7LjD55GIMjDmWrI8lRFIw&#10;VWKHoak9OXdxL261aTY1eIqdK9UtjHLV+OELMx+j6hlYSwFBv0L93jvmg9bTop/9BgAA//8DAFBL&#10;AwQUAAYACAAAACEAl+Gai9kAAAAHAQAADwAAAGRycy9kb3ducmV2LnhtbEyPT0/DMAzF70h8h8hI&#10;3Fi6MaapNJ2mIQ5wY9thR7dx/4jGqZp0K3x6zAGxi+XnZz3/nG0m16kzDaH1bGA+S0ARl962XBs4&#10;Hl4f1qBCRLbYeSYDXxRgk9/eZJhaf+EPOu9jrSSEQ4oGmhj7VOtQNuQwzHxPLF7lB4dR5FBrO+BF&#10;wl2nF0my0g5blgsN9rRrqPzcj84AVydMFsdp1O/zx7fitHypYv1tzP3dtH0GFWmK/8vwiy/okAtT&#10;4Ue2QXUG5JEo06f1UjrxpRZ/WueZvubPfwAAAP//AwBQSwECLQAUAAYACAAAACEAtoM4kv4AAADh&#10;AQAAEwAAAAAAAAAAAAAAAAAAAAAAW0NvbnRlbnRfVHlwZXNdLnhtbFBLAQItABQABgAIAAAAIQA4&#10;/SH/1gAAAJQBAAALAAAAAAAAAAAAAAAAAC8BAABfcmVscy8ucmVsc1BLAQItABQABgAIAAAAIQAy&#10;0X0xwwIAADAGAAAOAAAAAAAAAAAAAAAAAC4CAABkcnMvZTJvRG9jLnhtbFBLAQItABQABgAIAAAA&#10;IQCX4ZqL2QAAAAcBAAAPAAAAAAAAAAAAAAAAAB0FAABkcnMvZG93bnJldi54bWxQSwUGAAAAAAQA&#10;BADzAAAAIwYAAAAA&#10;" o:allowincell="f" filled="f" strokeweight=".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rFonts w:ascii="Ebrima" w:hAnsi="Ebrima"/>
        </w:rPr>
        <w:t>CC:</w:t>
      </w:r>
    </w:p>
    <w:p w14:paraId="4C0607BD" w14:textId="77777777" w:rsidR="009D0669" w:rsidRPr="00505EC0" w:rsidRDefault="009D0669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  <w:spacing w:val="-7"/>
        </w:rPr>
      </w:pPr>
      <w:r>
        <w:rPr>
          <w:rFonts w:ascii="Ebrima" w:hAnsi="Ebrima"/>
        </w:rPr>
        <w:t>1. Indonesia Stock Exchange (IDX);</w:t>
      </w:r>
    </w:p>
    <w:p w14:paraId="1E63AEBC" w14:textId="77777777" w:rsidR="009D0669" w:rsidRPr="00505EC0" w:rsidRDefault="009D0669" w:rsidP="000545D8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</w:rPr>
        <w:t>2. PT XLSMART Telecom Sejahtera;</w:t>
      </w:r>
    </w:p>
    <w:p w14:paraId="71332A4D" w14:textId="77777777" w:rsidR="000A4F2B" w:rsidRPr="00505EC0" w:rsidRDefault="009D0669" w:rsidP="002E1A06">
      <w:pPr>
        <w:widowControl w:val="0"/>
        <w:autoSpaceDE w:val="0"/>
        <w:autoSpaceDN w:val="0"/>
        <w:adjustRightInd w:val="0"/>
        <w:spacing w:line="288" w:lineRule="auto"/>
        <w:rPr>
          <w:rFonts w:ascii="Ebrima" w:hAnsi="Ebrima" w:cs="Arial"/>
        </w:rPr>
      </w:pPr>
      <w:r>
        <w:rPr>
          <w:rFonts w:ascii="Ebrima" w:hAnsi="Ebrima"/>
        </w:rPr>
        <w:t>3. PT Bank Mega Tbk as Trustee.</w:t>
      </w:r>
    </w:p>
    <w:p w14:paraId="52EABB2A" w14:textId="77777777" w:rsidR="000A4F2B" w:rsidRPr="00505EC0" w:rsidRDefault="000A4F2B" w:rsidP="000A4F2B">
      <w:pPr>
        <w:rPr>
          <w:rFonts w:ascii="Ebrima" w:hAnsi="Ebrima" w:cs="Arial"/>
        </w:rPr>
      </w:pPr>
    </w:p>
    <w:p w14:paraId="121B2961" w14:textId="77777777" w:rsidR="000A4F2B" w:rsidRPr="00505EC0" w:rsidRDefault="000A4F2B" w:rsidP="000A4F2B">
      <w:pPr>
        <w:rPr>
          <w:rFonts w:ascii="Ebrima" w:hAnsi="Ebrima" w:cs="Arial"/>
        </w:rPr>
      </w:pPr>
    </w:p>
    <w:sectPr w:rsidR="000A4F2B" w:rsidRPr="00505EC0" w:rsidSect="008A6623">
      <w:headerReference w:type="default" r:id="rId8"/>
      <w:footerReference w:type="default" r:id="rId9"/>
      <w:pgSz w:w="11909" w:h="16834" w:code="9"/>
      <w:pgMar w:top="1418" w:right="1418" w:bottom="1134" w:left="1418" w:header="284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1545" w14:textId="77777777" w:rsidR="006F224D" w:rsidRDefault="006F224D">
      <w:r>
        <w:separator/>
      </w:r>
    </w:p>
  </w:endnote>
  <w:endnote w:type="continuationSeparator" w:id="0">
    <w:p w14:paraId="49480DB5" w14:textId="77777777" w:rsidR="006F224D" w:rsidRDefault="006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BCA6" w14:textId="77777777" w:rsidR="00FA4069" w:rsidRPr="00F64D21" w:rsidRDefault="008F7ACD" w:rsidP="00100281">
    <w:pPr>
      <w:pStyle w:val="Footer"/>
      <w:rPr>
        <w:rFonts w:ascii="Arial" w:hAnsi="Arial" w:cs="Arial"/>
        <w:sz w:val="12"/>
        <w:szCs w:val="18"/>
      </w:rPr>
    </w:pPr>
    <w:r>
      <w:rPr>
        <w:rFonts w:ascii="Arial" w:hAnsi="Arial"/>
        <w:sz w:val="12"/>
      </w:rPr>
      <w:t>MDW/</w:t>
    </w:r>
    <w:proofErr w:type="spellStart"/>
    <w:r>
      <w:rPr>
        <w:rFonts w:ascii="Arial" w:hAnsi="Arial"/>
        <w:sz w:val="12"/>
      </w:rPr>
      <w:t>Penambahan</w:t>
    </w:r>
    <w:proofErr w:type="spellEnd"/>
    <w:r>
      <w:rPr>
        <w:rFonts w:ascii="Arial" w:hAnsi="Arial"/>
        <w:sz w:val="12"/>
      </w:rPr>
      <w:t xml:space="preserve"> Fee Ijarah SIEXCL01ECN2                                                                                                                                                               Halaman </w:t>
    </w:r>
    <w:r w:rsidR="0089748F" w:rsidRPr="00607758">
      <w:rPr>
        <w:rFonts w:ascii="Arial" w:hAnsi="Arial" w:cs="Arial"/>
        <w:sz w:val="12"/>
      </w:rPr>
      <w:fldChar w:fldCharType="begin"/>
    </w:r>
    <w:r w:rsidR="00FA4069" w:rsidRPr="00607758">
      <w:rPr>
        <w:rFonts w:ascii="Arial" w:hAnsi="Arial" w:cs="Arial"/>
        <w:sz w:val="12"/>
      </w:rPr>
      <w:instrText xml:space="preserve"> PAGE </w:instrText>
    </w:r>
    <w:r w:rsidR="0089748F" w:rsidRPr="00607758">
      <w:rPr>
        <w:rFonts w:ascii="Arial" w:hAnsi="Arial" w:cs="Arial"/>
        <w:sz w:val="12"/>
      </w:rPr>
      <w:fldChar w:fldCharType="separate"/>
    </w:r>
    <w:r w:rsidR="0042196F">
      <w:rPr>
        <w:rFonts w:ascii="Arial" w:hAnsi="Arial" w:cs="Arial"/>
        <w:sz w:val="12"/>
      </w:rPr>
      <w:t>2</w:t>
    </w:r>
    <w:r w:rsidR="0089748F" w:rsidRPr="00607758">
      <w:rPr>
        <w:rFonts w:ascii="Arial" w:hAnsi="Arial" w:cs="Arial"/>
        <w:sz w:val="12"/>
      </w:rPr>
      <w:fldChar w:fldCharType="end"/>
    </w:r>
    <w:r>
      <w:rPr>
        <w:rFonts w:ascii="Arial" w:hAnsi="Arial"/>
        <w:sz w:val="12"/>
      </w:rPr>
      <w:t>/</w:t>
    </w:r>
    <w:r w:rsidR="0089748F" w:rsidRPr="00607758">
      <w:rPr>
        <w:rFonts w:ascii="Arial" w:hAnsi="Arial" w:cs="Arial"/>
        <w:sz w:val="12"/>
      </w:rPr>
      <w:fldChar w:fldCharType="begin"/>
    </w:r>
    <w:r w:rsidR="00FA4069" w:rsidRPr="00607758">
      <w:rPr>
        <w:rFonts w:ascii="Arial" w:hAnsi="Arial" w:cs="Arial"/>
        <w:sz w:val="12"/>
      </w:rPr>
      <w:instrText xml:space="preserve"> NUMPAGES  </w:instrText>
    </w:r>
    <w:r w:rsidR="0089748F" w:rsidRPr="00607758">
      <w:rPr>
        <w:rFonts w:ascii="Arial" w:hAnsi="Arial" w:cs="Arial"/>
        <w:sz w:val="12"/>
      </w:rPr>
      <w:fldChar w:fldCharType="separate"/>
    </w:r>
    <w:r w:rsidR="0042196F">
      <w:rPr>
        <w:rFonts w:ascii="Arial" w:hAnsi="Arial" w:cs="Arial"/>
        <w:sz w:val="12"/>
      </w:rPr>
      <w:t>2</w:t>
    </w:r>
    <w:r w:rsidR="0089748F" w:rsidRPr="00607758">
      <w:rPr>
        <w:rFonts w:ascii="Arial" w:hAnsi="Arial" w:cs="Arial"/>
        <w:sz w:val="12"/>
      </w:rPr>
      <w:fldChar w:fldCharType="end"/>
    </w:r>
  </w:p>
  <w:p w14:paraId="6CC704B8" w14:textId="77777777" w:rsidR="00FA4069" w:rsidRPr="00607758" w:rsidRDefault="00FA4069" w:rsidP="00100281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     </w:t>
    </w:r>
  </w:p>
  <w:p w14:paraId="2A0CED92" w14:textId="77777777" w:rsidR="00FA4069" w:rsidRPr="00607758" w:rsidRDefault="00FA4069" w:rsidP="00CF34C4">
    <w:pPr>
      <w:pStyle w:val="Footer"/>
      <w:rPr>
        <w:rFonts w:ascii="Arial" w:hAnsi="Arial" w:cs="Arial"/>
        <w:b/>
        <w:bCs/>
        <w:sz w:val="12"/>
        <w:szCs w:val="12"/>
      </w:rPr>
    </w:pPr>
    <w:r>
      <w:rPr>
        <w:rFonts w:ascii="Arial" w:hAnsi="Arial"/>
        <w:b/>
        <w:sz w:val="12"/>
      </w:rPr>
      <w:t xml:space="preserve">PT </w:t>
    </w:r>
    <w:proofErr w:type="spellStart"/>
    <w:r>
      <w:rPr>
        <w:rFonts w:ascii="Arial" w:hAnsi="Arial"/>
        <w:b/>
        <w:sz w:val="12"/>
      </w:rPr>
      <w:t>Kustodian</w:t>
    </w:r>
    <w:proofErr w:type="spellEnd"/>
    <w:r>
      <w:rPr>
        <w:rFonts w:ascii="Arial" w:hAnsi="Arial"/>
        <w:b/>
        <w:sz w:val="12"/>
      </w:rPr>
      <w:t xml:space="preserve"> Sentral </w:t>
    </w:r>
    <w:proofErr w:type="spellStart"/>
    <w:r>
      <w:rPr>
        <w:rFonts w:ascii="Arial" w:hAnsi="Arial"/>
        <w:b/>
        <w:sz w:val="12"/>
      </w:rPr>
      <w:t>Efek</w:t>
    </w:r>
    <w:proofErr w:type="spellEnd"/>
    <w:r>
      <w:rPr>
        <w:rFonts w:ascii="Arial" w:hAnsi="Arial"/>
        <w:b/>
        <w:sz w:val="12"/>
      </w:rPr>
      <w:t xml:space="preserve"> Indonesia</w:t>
    </w:r>
  </w:p>
  <w:p w14:paraId="4D02D514" w14:textId="77777777" w:rsidR="00FA4069" w:rsidRPr="00607758" w:rsidRDefault="00FA4069" w:rsidP="00CF34C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>Indonesian Stock Exchange Building 1</w:t>
    </w:r>
    <w:r>
      <w:rPr>
        <w:rFonts w:ascii="Arial" w:hAnsi="Arial"/>
        <w:sz w:val="12"/>
        <w:vertAlign w:val="superscript"/>
      </w:rPr>
      <w:t>st</w:t>
    </w:r>
    <w:r>
      <w:rPr>
        <w:rFonts w:ascii="Arial" w:hAnsi="Arial"/>
        <w:sz w:val="12"/>
      </w:rPr>
      <w:t xml:space="preserve"> Tower 5</w:t>
    </w:r>
    <w:r>
      <w:rPr>
        <w:rFonts w:ascii="Arial" w:hAnsi="Arial"/>
        <w:sz w:val="12"/>
        <w:vertAlign w:val="superscript"/>
      </w:rPr>
      <w:t>th</w:t>
    </w:r>
    <w:r>
      <w:rPr>
        <w:rFonts w:ascii="Arial" w:hAnsi="Arial"/>
        <w:sz w:val="12"/>
      </w:rPr>
      <w:t xml:space="preserve"> Floor</w:t>
    </w:r>
  </w:p>
  <w:p w14:paraId="00B52E58" w14:textId="77777777" w:rsidR="00FA4069" w:rsidRPr="00607758" w:rsidRDefault="00FA4069" w:rsidP="00CF34C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Jl. </w:t>
    </w:r>
    <w:proofErr w:type="spellStart"/>
    <w:r>
      <w:rPr>
        <w:rFonts w:ascii="Arial" w:hAnsi="Arial"/>
        <w:sz w:val="12"/>
      </w:rPr>
      <w:t>Jend</w:t>
    </w:r>
    <w:proofErr w:type="spellEnd"/>
    <w:r>
      <w:rPr>
        <w:rFonts w:ascii="Arial" w:hAnsi="Arial"/>
        <w:sz w:val="12"/>
      </w:rPr>
      <w:t>. Sudirman Kav. 52-53, Jakarta 12190 – Indonesia</w:t>
    </w:r>
  </w:p>
  <w:p w14:paraId="41BFA3C9" w14:textId="77777777" w:rsidR="00FA4069" w:rsidRPr="00607758" w:rsidRDefault="00FA4069" w:rsidP="00CF34C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Phone: (62-21) 5299 1099, Fax: (62-21) 5299 1199                                                               </w:t>
    </w:r>
    <w:r>
      <w:rPr>
        <w:rFonts w:ascii="Arial" w:hAnsi="Arial"/>
        <w:sz w:val="12"/>
      </w:rPr>
      <w:tab/>
      <w:t xml:space="preserve">                  www. ksei.co.id</w:t>
    </w:r>
  </w:p>
  <w:p w14:paraId="6FFB2A3D" w14:textId="77777777" w:rsidR="00FA4069" w:rsidRDefault="00FA4069" w:rsidP="00CF34C4">
    <w:pPr>
      <w:pStyle w:val="Footer"/>
      <w:rPr>
        <w:rFonts w:ascii="Arial" w:hAnsi="Arial" w:cs="Arial"/>
        <w:color w:val="686868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2821" w14:textId="77777777" w:rsidR="006F224D" w:rsidRDefault="006F224D">
      <w:r>
        <w:separator/>
      </w:r>
    </w:p>
  </w:footnote>
  <w:footnote w:type="continuationSeparator" w:id="0">
    <w:p w14:paraId="110BD560" w14:textId="77777777" w:rsidR="006F224D" w:rsidRDefault="006F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4366" w14:textId="77777777" w:rsidR="00FA4069" w:rsidRDefault="00FA4069" w:rsidP="00CF34C4">
    <w:pPr>
      <w:pStyle w:val="Header"/>
    </w:pPr>
    <w:r>
      <w:rPr>
        <w:noProof/>
      </w:rPr>
      <w:drawing>
        <wp:inline distT="0" distB="0" distL="0" distR="0" wp14:anchorId="7686D4F5" wp14:editId="2DA4BBA8">
          <wp:extent cx="1315184" cy="590550"/>
          <wp:effectExtent l="19050" t="0" r="0" b="0"/>
          <wp:docPr id="6" name="Picture 6" descr="Logo KSEI  FINAL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SEI  FINAL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894" cy="59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FD6"/>
    <w:multiLevelType w:val="hybridMultilevel"/>
    <w:tmpl w:val="77B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82"/>
    <w:multiLevelType w:val="hybridMultilevel"/>
    <w:tmpl w:val="AFEEAE1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39750B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F80ADB"/>
    <w:multiLevelType w:val="singleLevel"/>
    <w:tmpl w:val="34E2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E44CAB"/>
    <w:multiLevelType w:val="hybridMultilevel"/>
    <w:tmpl w:val="C81EBD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13974007">
    <w:abstractNumId w:val="2"/>
  </w:num>
  <w:num w:numId="2" w16cid:durableId="282275239">
    <w:abstractNumId w:val="3"/>
  </w:num>
  <w:num w:numId="3" w16cid:durableId="1296564269">
    <w:abstractNumId w:val="3"/>
    <w:lvlOverride w:ilvl="0">
      <w:startOverride w:val="1"/>
    </w:lvlOverride>
  </w:num>
  <w:num w:numId="4" w16cid:durableId="1117026581">
    <w:abstractNumId w:val="4"/>
  </w:num>
  <w:num w:numId="5" w16cid:durableId="382870147">
    <w:abstractNumId w:val="0"/>
  </w:num>
  <w:num w:numId="6" w16cid:durableId="124695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LM0sDAxtTQzNTBX0lEKTi0uzszPAykwrAUAXLjCIiwAAAA="/>
  </w:docVars>
  <w:rsids>
    <w:rsidRoot w:val="00847CB9"/>
    <w:rsid w:val="00000219"/>
    <w:rsid w:val="00001B42"/>
    <w:rsid w:val="000020D6"/>
    <w:rsid w:val="00003704"/>
    <w:rsid w:val="00006EF2"/>
    <w:rsid w:val="00007B11"/>
    <w:rsid w:val="00010A80"/>
    <w:rsid w:val="0001319B"/>
    <w:rsid w:val="00017BC5"/>
    <w:rsid w:val="00020AB7"/>
    <w:rsid w:val="00024423"/>
    <w:rsid w:val="00031772"/>
    <w:rsid w:val="00031FCD"/>
    <w:rsid w:val="00036904"/>
    <w:rsid w:val="00036E0F"/>
    <w:rsid w:val="00041025"/>
    <w:rsid w:val="000420B8"/>
    <w:rsid w:val="00042F7D"/>
    <w:rsid w:val="00043C97"/>
    <w:rsid w:val="00046CB1"/>
    <w:rsid w:val="00050695"/>
    <w:rsid w:val="00052ABC"/>
    <w:rsid w:val="00052B33"/>
    <w:rsid w:val="00052C19"/>
    <w:rsid w:val="000545D8"/>
    <w:rsid w:val="00054D4D"/>
    <w:rsid w:val="00056089"/>
    <w:rsid w:val="00061621"/>
    <w:rsid w:val="00064A91"/>
    <w:rsid w:val="000657C4"/>
    <w:rsid w:val="00065936"/>
    <w:rsid w:val="0007147A"/>
    <w:rsid w:val="00081847"/>
    <w:rsid w:val="0008282F"/>
    <w:rsid w:val="0008334B"/>
    <w:rsid w:val="000911F4"/>
    <w:rsid w:val="000939F4"/>
    <w:rsid w:val="0009441E"/>
    <w:rsid w:val="00096A3C"/>
    <w:rsid w:val="000977B1"/>
    <w:rsid w:val="000A0A88"/>
    <w:rsid w:val="000A1CCE"/>
    <w:rsid w:val="000A4F2B"/>
    <w:rsid w:val="000A520D"/>
    <w:rsid w:val="000A587B"/>
    <w:rsid w:val="000A69D7"/>
    <w:rsid w:val="000A79DC"/>
    <w:rsid w:val="000B190D"/>
    <w:rsid w:val="000B4AEF"/>
    <w:rsid w:val="000B55CD"/>
    <w:rsid w:val="000B6B0C"/>
    <w:rsid w:val="000B7CFC"/>
    <w:rsid w:val="000C37B8"/>
    <w:rsid w:val="000C45BC"/>
    <w:rsid w:val="000D22D1"/>
    <w:rsid w:val="000D7642"/>
    <w:rsid w:val="000D767C"/>
    <w:rsid w:val="000E04EE"/>
    <w:rsid w:val="000E2CBA"/>
    <w:rsid w:val="000E3BF9"/>
    <w:rsid w:val="000E78D8"/>
    <w:rsid w:val="000F1B92"/>
    <w:rsid w:val="000F2040"/>
    <w:rsid w:val="000F61ED"/>
    <w:rsid w:val="000F654E"/>
    <w:rsid w:val="000F6B32"/>
    <w:rsid w:val="000F7D4A"/>
    <w:rsid w:val="00100281"/>
    <w:rsid w:val="00101F6E"/>
    <w:rsid w:val="0010232B"/>
    <w:rsid w:val="00102B9C"/>
    <w:rsid w:val="00103D5D"/>
    <w:rsid w:val="00104046"/>
    <w:rsid w:val="00104C44"/>
    <w:rsid w:val="001054AB"/>
    <w:rsid w:val="00106A45"/>
    <w:rsid w:val="0011268C"/>
    <w:rsid w:val="001134B1"/>
    <w:rsid w:val="001146B5"/>
    <w:rsid w:val="001170D1"/>
    <w:rsid w:val="0011747D"/>
    <w:rsid w:val="001175D7"/>
    <w:rsid w:val="00122CD2"/>
    <w:rsid w:val="00123CAF"/>
    <w:rsid w:val="00126239"/>
    <w:rsid w:val="00126B73"/>
    <w:rsid w:val="00126BEF"/>
    <w:rsid w:val="001364E2"/>
    <w:rsid w:val="0014044E"/>
    <w:rsid w:val="00141001"/>
    <w:rsid w:val="00143DBF"/>
    <w:rsid w:val="00145130"/>
    <w:rsid w:val="0014596C"/>
    <w:rsid w:val="0015020E"/>
    <w:rsid w:val="00151F97"/>
    <w:rsid w:val="001520FB"/>
    <w:rsid w:val="00153FFA"/>
    <w:rsid w:val="001546A1"/>
    <w:rsid w:val="00154BA9"/>
    <w:rsid w:val="001561FB"/>
    <w:rsid w:val="00162C09"/>
    <w:rsid w:val="0016300E"/>
    <w:rsid w:val="00163EEF"/>
    <w:rsid w:val="00167286"/>
    <w:rsid w:val="00172AD2"/>
    <w:rsid w:val="00176C7D"/>
    <w:rsid w:val="00182274"/>
    <w:rsid w:val="001831FA"/>
    <w:rsid w:val="00185A81"/>
    <w:rsid w:val="001866B8"/>
    <w:rsid w:val="0019453C"/>
    <w:rsid w:val="00195615"/>
    <w:rsid w:val="001A2807"/>
    <w:rsid w:val="001A5410"/>
    <w:rsid w:val="001A5B99"/>
    <w:rsid w:val="001B465B"/>
    <w:rsid w:val="001B4B9D"/>
    <w:rsid w:val="001B5E7A"/>
    <w:rsid w:val="001B619E"/>
    <w:rsid w:val="001B709F"/>
    <w:rsid w:val="001B716F"/>
    <w:rsid w:val="001B7636"/>
    <w:rsid w:val="001C011E"/>
    <w:rsid w:val="001C5DEF"/>
    <w:rsid w:val="001D08F6"/>
    <w:rsid w:val="001D4880"/>
    <w:rsid w:val="001D5135"/>
    <w:rsid w:val="001D61CB"/>
    <w:rsid w:val="001D6A25"/>
    <w:rsid w:val="001E0516"/>
    <w:rsid w:val="001E2BC0"/>
    <w:rsid w:val="001E3800"/>
    <w:rsid w:val="001E498B"/>
    <w:rsid w:val="001E49AF"/>
    <w:rsid w:val="001F3B30"/>
    <w:rsid w:val="001F4F47"/>
    <w:rsid w:val="001F723E"/>
    <w:rsid w:val="001F7B63"/>
    <w:rsid w:val="002012CA"/>
    <w:rsid w:val="00202D12"/>
    <w:rsid w:val="00204275"/>
    <w:rsid w:val="00205335"/>
    <w:rsid w:val="002065D1"/>
    <w:rsid w:val="00206616"/>
    <w:rsid w:val="00211FD4"/>
    <w:rsid w:val="0021331A"/>
    <w:rsid w:val="00215D4E"/>
    <w:rsid w:val="00217E2D"/>
    <w:rsid w:val="00224903"/>
    <w:rsid w:val="00227811"/>
    <w:rsid w:val="0023084A"/>
    <w:rsid w:val="002331FE"/>
    <w:rsid w:val="00234316"/>
    <w:rsid w:val="00243508"/>
    <w:rsid w:val="00243CAE"/>
    <w:rsid w:val="0024429F"/>
    <w:rsid w:val="00244E21"/>
    <w:rsid w:val="00245956"/>
    <w:rsid w:val="0024778B"/>
    <w:rsid w:val="0025491A"/>
    <w:rsid w:val="002550CA"/>
    <w:rsid w:val="00256191"/>
    <w:rsid w:val="00256F78"/>
    <w:rsid w:val="00264D0D"/>
    <w:rsid w:val="00266E2B"/>
    <w:rsid w:val="0026748C"/>
    <w:rsid w:val="00271049"/>
    <w:rsid w:val="00271FBE"/>
    <w:rsid w:val="00272C3E"/>
    <w:rsid w:val="0027486C"/>
    <w:rsid w:val="00275561"/>
    <w:rsid w:val="00277321"/>
    <w:rsid w:val="002908E8"/>
    <w:rsid w:val="0029217D"/>
    <w:rsid w:val="002954A7"/>
    <w:rsid w:val="0029667B"/>
    <w:rsid w:val="002A2034"/>
    <w:rsid w:val="002A2AC2"/>
    <w:rsid w:val="002A78A2"/>
    <w:rsid w:val="002B6F04"/>
    <w:rsid w:val="002C245B"/>
    <w:rsid w:val="002C5BBC"/>
    <w:rsid w:val="002C5C84"/>
    <w:rsid w:val="002D35CD"/>
    <w:rsid w:val="002D56A0"/>
    <w:rsid w:val="002D6835"/>
    <w:rsid w:val="002D7D98"/>
    <w:rsid w:val="002E0807"/>
    <w:rsid w:val="002E1A06"/>
    <w:rsid w:val="002E3B5B"/>
    <w:rsid w:val="002E45DF"/>
    <w:rsid w:val="002E48A2"/>
    <w:rsid w:val="002E519B"/>
    <w:rsid w:val="002E56A4"/>
    <w:rsid w:val="002E6D2E"/>
    <w:rsid w:val="002F3994"/>
    <w:rsid w:val="002F530A"/>
    <w:rsid w:val="00300D60"/>
    <w:rsid w:val="003060E9"/>
    <w:rsid w:val="00307E52"/>
    <w:rsid w:val="00312EA1"/>
    <w:rsid w:val="003162F3"/>
    <w:rsid w:val="0032044C"/>
    <w:rsid w:val="00320B06"/>
    <w:rsid w:val="003210BD"/>
    <w:rsid w:val="003217CA"/>
    <w:rsid w:val="0033055F"/>
    <w:rsid w:val="0033301A"/>
    <w:rsid w:val="0033502D"/>
    <w:rsid w:val="0033663B"/>
    <w:rsid w:val="0033790F"/>
    <w:rsid w:val="00340DD8"/>
    <w:rsid w:val="003520B7"/>
    <w:rsid w:val="00354AE6"/>
    <w:rsid w:val="00354BBE"/>
    <w:rsid w:val="003561A0"/>
    <w:rsid w:val="00360D35"/>
    <w:rsid w:val="00367020"/>
    <w:rsid w:val="00371C8D"/>
    <w:rsid w:val="00375ACB"/>
    <w:rsid w:val="00375EE2"/>
    <w:rsid w:val="0038026E"/>
    <w:rsid w:val="00381748"/>
    <w:rsid w:val="00386482"/>
    <w:rsid w:val="00386871"/>
    <w:rsid w:val="00386B16"/>
    <w:rsid w:val="00390865"/>
    <w:rsid w:val="00390B18"/>
    <w:rsid w:val="00393CFC"/>
    <w:rsid w:val="00397E65"/>
    <w:rsid w:val="003A0830"/>
    <w:rsid w:val="003A2301"/>
    <w:rsid w:val="003A35BF"/>
    <w:rsid w:val="003A3CE1"/>
    <w:rsid w:val="003A733E"/>
    <w:rsid w:val="003B03D0"/>
    <w:rsid w:val="003B5B0A"/>
    <w:rsid w:val="003C4A07"/>
    <w:rsid w:val="003D03A9"/>
    <w:rsid w:val="003D082D"/>
    <w:rsid w:val="003D2BF9"/>
    <w:rsid w:val="003E3C7E"/>
    <w:rsid w:val="003E566E"/>
    <w:rsid w:val="003E572C"/>
    <w:rsid w:val="003E7106"/>
    <w:rsid w:val="003F1305"/>
    <w:rsid w:val="003F19E5"/>
    <w:rsid w:val="003F402E"/>
    <w:rsid w:val="003F4945"/>
    <w:rsid w:val="003F6F20"/>
    <w:rsid w:val="00401244"/>
    <w:rsid w:val="00404E5A"/>
    <w:rsid w:val="00414378"/>
    <w:rsid w:val="00414525"/>
    <w:rsid w:val="0041594A"/>
    <w:rsid w:val="0042196F"/>
    <w:rsid w:val="00423B5F"/>
    <w:rsid w:val="00423EB3"/>
    <w:rsid w:val="004242DA"/>
    <w:rsid w:val="00425C66"/>
    <w:rsid w:val="004278BF"/>
    <w:rsid w:val="00427D24"/>
    <w:rsid w:val="00432DB4"/>
    <w:rsid w:val="00433425"/>
    <w:rsid w:val="004350BC"/>
    <w:rsid w:val="004407A3"/>
    <w:rsid w:val="004407E0"/>
    <w:rsid w:val="0044090C"/>
    <w:rsid w:val="00443DEC"/>
    <w:rsid w:val="00451BFA"/>
    <w:rsid w:val="00454469"/>
    <w:rsid w:val="004559E8"/>
    <w:rsid w:val="00455E53"/>
    <w:rsid w:val="00461CF9"/>
    <w:rsid w:val="004628AD"/>
    <w:rsid w:val="0046575B"/>
    <w:rsid w:val="00471CA4"/>
    <w:rsid w:val="00476BF9"/>
    <w:rsid w:val="0047752D"/>
    <w:rsid w:val="00482897"/>
    <w:rsid w:val="00483325"/>
    <w:rsid w:val="00485B2B"/>
    <w:rsid w:val="004929A7"/>
    <w:rsid w:val="004A081E"/>
    <w:rsid w:val="004B3BFA"/>
    <w:rsid w:val="004B4DCA"/>
    <w:rsid w:val="004B57FC"/>
    <w:rsid w:val="004C0BB2"/>
    <w:rsid w:val="004C6CB5"/>
    <w:rsid w:val="004C6D95"/>
    <w:rsid w:val="004D04A8"/>
    <w:rsid w:val="004D0EB6"/>
    <w:rsid w:val="004D46AB"/>
    <w:rsid w:val="004D5A5D"/>
    <w:rsid w:val="004E1A98"/>
    <w:rsid w:val="004E25B3"/>
    <w:rsid w:val="004E3D15"/>
    <w:rsid w:val="004F1C6A"/>
    <w:rsid w:val="004F34D7"/>
    <w:rsid w:val="004F4424"/>
    <w:rsid w:val="004F50F2"/>
    <w:rsid w:val="004F7F49"/>
    <w:rsid w:val="00500E80"/>
    <w:rsid w:val="005022BD"/>
    <w:rsid w:val="00505E62"/>
    <w:rsid w:val="00505EC0"/>
    <w:rsid w:val="0051755C"/>
    <w:rsid w:val="005223C0"/>
    <w:rsid w:val="005239DA"/>
    <w:rsid w:val="00527C61"/>
    <w:rsid w:val="00532AAF"/>
    <w:rsid w:val="00533A8D"/>
    <w:rsid w:val="005414D0"/>
    <w:rsid w:val="005424C6"/>
    <w:rsid w:val="00546C71"/>
    <w:rsid w:val="0055222D"/>
    <w:rsid w:val="0055764B"/>
    <w:rsid w:val="00560E4E"/>
    <w:rsid w:val="005616AC"/>
    <w:rsid w:val="005620F9"/>
    <w:rsid w:val="00562AF7"/>
    <w:rsid w:val="0056560D"/>
    <w:rsid w:val="0056607C"/>
    <w:rsid w:val="00566ADB"/>
    <w:rsid w:val="0056704D"/>
    <w:rsid w:val="0057022D"/>
    <w:rsid w:val="00570AD2"/>
    <w:rsid w:val="005744C9"/>
    <w:rsid w:val="00574879"/>
    <w:rsid w:val="00577CE4"/>
    <w:rsid w:val="00577F68"/>
    <w:rsid w:val="005800A0"/>
    <w:rsid w:val="00584A91"/>
    <w:rsid w:val="00584CF2"/>
    <w:rsid w:val="00584DB1"/>
    <w:rsid w:val="005850C8"/>
    <w:rsid w:val="00592EA8"/>
    <w:rsid w:val="00594DE9"/>
    <w:rsid w:val="005A0ED8"/>
    <w:rsid w:val="005A1ED6"/>
    <w:rsid w:val="005A308C"/>
    <w:rsid w:val="005A582A"/>
    <w:rsid w:val="005A7892"/>
    <w:rsid w:val="005A7F2F"/>
    <w:rsid w:val="005B0F41"/>
    <w:rsid w:val="005B1380"/>
    <w:rsid w:val="005B27BE"/>
    <w:rsid w:val="005B3AF6"/>
    <w:rsid w:val="005B40B9"/>
    <w:rsid w:val="005B486F"/>
    <w:rsid w:val="005B5385"/>
    <w:rsid w:val="005B5C41"/>
    <w:rsid w:val="005B6426"/>
    <w:rsid w:val="005B6FC5"/>
    <w:rsid w:val="005C37C3"/>
    <w:rsid w:val="005C494C"/>
    <w:rsid w:val="005D5BFE"/>
    <w:rsid w:val="005D5F29"/>
    <w:rsid w:val="005D75D1"/>
    <w:rsid w:val="005E18AB"/>
    <w:rsid w:val="005E3E55"/>
    <w:rsid w:val="005E713C"/>
    <w:rsid w:val="005F1349"/>
    <w:rsid w:val="005F3459"/>
    <w:rsid w:val="005F3591"/>
    <w:rsid w:val="005F3B95"/>
    <w:rsid w:val="005F3C32"/>
    <w:rsid w:val="005F4284"/>
    <w:rsid w:val="005F4F2F"/>
    <w:rsid w:val="005F500F"/>
    <w:rsid w:val="005F7F6B"/>
    <w:rsid w:val="0060169B"/>
    <w:rsid w:val="00605865"/>
    <w:rsid w:val="00606BD8"/>
    <w:rsid w:val="00607758"/>
    <w:rsid w:val="0060776F"/>
    <w:rsid w:val="00611660"/>
    <w:rsid w:val="00625578"/>
    <w:rsid w:val="006273CA"/>
    <w:rsid w:val="006276C3"/>
    <w:rsid w:val="006328A0"/>
    <w:rsid w:val="00633CE6"/>
    <w:rsid w:val="00633F1D"/>
    <w:rsid w:val="006364DF"/>
    <w:rsid w:val="00640B97"/>
    <w:rsid w:val="00642EDC"/>
    <w:rsid w:val="00643528"/>
    <w:rsid w:val="0065016E"/>
    <w:rsid w:val="00651046"/>
    <w:rsid w:val="00654314"/>
    <w:rsid w:val="006546DC"/>
    <w:rsid w:val="0066016F"/>
    <w:rsid w:val="00660CF6"/>
    <w:rsid w:val="00661D30"/>
    <w:rsid w:val="006640DE"/>
    <w:rsid w:val="00665F4F"/>
    <w:rsid w:val="00666F68"/>
    <w:rsid w:val="00671EDE"/>
    <w:rsid w:val="00673040"/>
    <w:rsid w:val="00677C56"/>
    <w:rsid w:val="006850A1"/>
    <w:rsid w:val="00685F83"/>
    <w:rsid w:val="00691B25"/>
    <w:rsid w:val="00691E0C"/>
    <w:rsid w:val="006932E7"/>
    <w:rsid w:val="00695526"/>
    <w:rsid w:val="006A17EF"/>
    <w:rsid w:val="006A2260"/>
    <w:rsid w:val="006A4213"/>
    <w:rsid w:val="006A4B36"/>
    <w:rsid w:val="006B0F1A"/>
    <w:rsid w:val="006B2133"/>
    <w:rsid w:val="006B7359"/>
    <w:rsid w:val="006C44BD"/>
    <w:rsid w:val="006C6A16"/>
    <w:rsid w:val="006D1CA9"/>
    <w:rsid w:val="006D224C"/>
    <w:rsid w:val="006D522E"/>
    <w:rsid w:val="006D5275"/>
    <w:rsid w:val="006D6AAD"/>
    <w:rsid w:val="006E5605"/>
    <w:rsid w:val="006E6150"/>
    <w:rsid w:val="006E6266"/>
    <w:rsid w:val="006F2077"/>
    <w:rsid w:val="006F224D"/>
    <w:rsid w:val="006F3BA8"/>
    <w:rsid w:val="006F3CB0"/>
    <w:rsid w:val="0070358F"/>
    <w:rsid w:val="00704AF9"/>
    <w:rsid w:val="007053AD"/>
    <w:rsid w:val="007148E4"/>
    <w:rsid w:val="0072460B"/>
    <w:rsid w:val="00731158"/>
    <w:rsid w:val="007353B4"/>
    <w:rsid w:val="00736740"/>
    <w:rsid w:val="007369B7"/>
    <w:rsid w:val="00736FB2"/>
    <w:rsid w:val="00742CC5"/>
    <w:rsid w:val="00743E50"/>
    <w:rsid w:val="00744013"/>
    <w:rsid w:val="0074719B"/>
    <w:rsid w:val="0075015F"/>
    <w:rsid w:val="00750CEA"/>
    <w:rsid w:val="0075259B"/>
    <w:rsid w:val="007538ED"/>
    <w:rsid w:val="00753D82"/>
    <w:rsid w:val="007549B4"/>
    <w:rsid w:val="00760283"/>
    <w:rsid w:val="0076497B"/>
    <w:rsid w:val="0076583C"/>
    <w:rsid w:val="00770133"/>
    <w:rsid w:val="00772C2F"/>
    <w:rsid w:val="00772ED4"/>
    <w:rsid w:val="007733E2"/>
    <w:rsid w:val="007747D1"/>
    <w:rsid w:val="00784EF2"/>
    <w:rsid w:val="00786105"/>
    <w:rsid w:val="0079334A"/>
    <w:rsid w:val="00797F1C"/>
    <w:rsid w:val="007A0520"/>
    <w:rsid w:val="007A0D98"/>
    <w:rsid w:val="007A1035"/>
    <w:rsid w:val="007A4F92"/>
    <w:rsid w:val="007A5D1A"/>
    <w:rsid w:val="007B1393"/>
    <w:rsid w:val="007B2B36"/>
    <w:rsid w:val="007C1E1B"/>
    <w:rsid w:val="007C4EB3"/>
    <w:rsid w:val="007C5A04"/>
    <w:rsid w:val="007C7190"/>
    <w:rsid w:val="007D0BA1"/>
    <w:rsid w:val="007D539D"/>
    <w:rsid w:val="007D5E6C"/>
    <w:rsid w:val="007D7C4A"/>
    <w:rsid w:val="007E24C1"/>
    <w:rsid w:val="007E3616"/>
    <w:rsid w:val="007E51D4"/>
    <w:rsid w:val="007F0405"/>
    <w:rsid w:val="007F1624"/>
    <w:rsid w:val="007F4F66"/>
    <w:rsid w:val="007F5A50"/>
    <w:rsid w:val="00801915"/>
    <w:rsid w:val="0080598F"/>
    <w:rsid w:val="00811A83"/>
    <w:rsid w:val="00811F3A"/>
    <w:rsid w:val="00815BBF"/>
    <w:rsid w:val="00816CED"/>
    <w:rsid w:val="00820151"/>
    <w:rsid w:val="00820B20"/>
    <w:rsid w:val="00823987"/>
    <w:rsid w:val="00823A8B"/>
    <w:rsid w:val="00823CEF"/>
    <w:rsid w:val="00825204"/>
    <w:rsid w:val="00831816"/>
    <w:rsid w:val="00837370"/>
    <w:rsid w:val="008375FD"/>
    <w:rsid w:val="00837F4E"/>
    <w:rsid w:val="008452E3"/>
    <w:rsid w:val="00845B54"/>
    <w:rsid w:val="00847CB9"/>
    <w:rsid w:val="008518FF"/>
    <w:rsid w:val="008547FA"/>
    <w:rsid w:val="00861857"/>
    <w:rsid w:val="00863472"/>
    <w:rsid w:val="00864EDD"/>
    <w:rsid w:val="0087482C"/>
    <w:rsid w:val="00874F25"/>
    <w:rsid w:val="0087720F"/>
    <w:rsid w:val="008810C6"/>
    <w:rsid w:val="0088250A"/>
    <w:rsid w:val="00882A81"/>
    <w:rsid w:val="00883954"/>
    <w:rsid w:val="00890F30"/>
    <w:rsid w:val="0089748F"/>
    <w:rsid w:val="008A0B4B"/>
    <w:rsid w:val="008A136D"/>
    <w:rsid w:val="008A2BB4"/>
    <w:rsid w:val="008A3567"/>
    <w:rsid w:val="008A551F"/>
    <w:rsid w:val="008A6623"/>
    <w:rsid w:val="008A7B7C"/>
    <w:rsid w:val="008B2E97"/>
    <w:rsid w:val="008B3A11"/>
    <w:rsid w:val="008C1C2E"/>
    <w:rsid w:val="008C4307"/>
    <w:rsid w:val="008C481C"/>
    <w:rsid w:val="008E543B"/>
    <w:rsid w:val="008E567E"/>
    <w:rsid w:val="008E6361"/>
    <w:rsid w:val="008E6654"/>
    <w:rsid w:val="008E7069"/>
    <w:rsid w:val="008E7660"/>
    <w:rsid w:val="008E7841"/>
    <w:rsid w:val="008F03F1"/>
    <w:rsid w:val="008F6E66"/>
    <w:rsid w:val="008F7ACD"/>
    <w:rsid w:val="0090092F"/>
    <w:rsid w:val="0090178A"/>
    <w:rsid w:val="00905995"/>
    <w:rsid w:val="00907544"/>
    <w:rsid w:val="0091115C"/>
    <w:rsid w:val="00917B5F"/>
    <w:rsid w:val="00921BFD"/>
    <w:rsid w:val="009260AD"/>
    <w:rsid w:val="00926AA4"/>
    <w:rsid w:val="009273B7"/>
    <w:rsid w:val="00932EDE"/>
    <w:rsid w:val="00936C90"/>
    <w:rsid w:val="00940AC7"/>
    <w:rsid w:val="009466BF"/>
    <w:rsid w:val="0094794E"/>
    <w:rsid w:val="009511B8"/>
    <w:rsid w:val="009527CE"/>
    <w:rsid w:val="009706D0"/>
    <w:rsid w:val="00973D3B"/>
    <w:rsid w:val="0097788A"/>
    <w:rsid w:val="00981AC8"/>
    <w:rsid w:val="009829B1"/>
    <w:rsid w:val="009830C5"/>
    <w:rsid w:val="00984CC2"/>
    <w:rsid w:val="00985D18"/>
    <w:rsid w:val="009A1C7D"/>
    <w:rsid w:val="009A6058"/>
    <w:rsid w:val="009B0859"/>
    <w:rsid w:val="009B16A9"/>
    <w:rsid w:val="009B5790"/>
    <w:rsid w:val="009C6AA1"/>
    <w:rsid w:val="009C7880"/>
    <w:rsid w:val="009D0669"/>
    <w:rsid w:val="009D31DF"/>
    <w:rsid w:val="009E3149"/>
    <w:rsid w:val="009E4124"/>
    <w:rsid w:val="009E52CA"/>
    <w:rsid w:val="009E6715"/>
    <w:rsid w:val="009E696C"/>
    <w:rsid w:val="009F0219"/>
    <w:rsid w:val="009F0B55"/>
    <w:rsid w:val="009F2564"/>
    <w:rsid w:val="009F44FC"/>
    <w:rsid w:val="009F74DC"/>
    <w:rsid w:val="00A01971"/>
    <w:rsid w:val="00A075A8"/>
    <w:rsid w:val="00A11276"/>
    <w:rsid w:val="00A11434"/>
    <w:rsid w:val="00A11914"/>
    <w:rsid w:val="00A12449"/>
    <w:rsid w:val="00A21CC3"/>
    <w:rsid w:val="00A263DD"/>
    <w:rsid w:val="00A26E02"/>
    <w:rsid w:val="00A27417"/>
    <w:rsid w:val="00A34B9A"/>
    <w:rsid w:val="00A34BED"/>
    <w:rsid w:val="00A417AD"/>
    <w:rsid w:val="00A42548"/>
    <w:rsid w:val="00A42FAE"/>
    <w:rsid w:val="00A5014E"/>
    <w:rsid w:val="00A52FDC"/>
    <w:rsid w:val="00A53E11"/>
    <w:rsid w:val="00A5725C"/>
    <w:rsid w:val="00A608EE"/>
    <w:rsid w:val="00A60E88"/>
    <w:rsid w:val="00A61835"/>
    <w:rsid w:val="00A62EA7"/>
    <w:rsid w:val="00A733F0"/>
    <w:rsid w:val="00A75891"/>
    <w:rsid w:val="00A760FC"/>
    <w:rsid w:val="00A76C43"/>
    <w:rsid w:val="00A80DDD"/>
    <w:rsid w:val="00A85F4E"/>
    <w:rsid w:val="00A90A7F"/>
    <w:rsid w:val="00A95266"/>
    <w:rsid w:val="00A95B16"/>
    <w:rsid w:val="00AA0FF8"/>
    <w:rsid w:val="00AA2AF0"/>
    <w:rsid w:val="00AA3767"/>
    <w:rsid w:val="00AA5BF6"/>
    <w:rsid w:val="00AB38F7"/>
    <w:rsid w:val="00AC0801"/>
    <w:rsid w:val="00AC0D28"/>
    <w:rsid w:val="00AD539A"/>
    <w:rsid w:val="00AE5062"/>
    <w:rsid w:val="00AE6BB1"/>
    <w:rsid w:val="00AF043C"/>
    <w:rsid w:val="00B00B9B"/>
    <w:rsid w:val="00B02497"/>
    <w:rsid w:val="00B033E2"/>
    <w:rsid w:val="00B0461C"/>
    <w:rsid w:val="00B061D6"/>
    <w:rsid w:val="00B10E33"/>
    <w:rsid w:val="00B11F0F"/>
    <w:rsid w:val="00B15ACF"/>
    <w:rsid w:val="00B16143"/>
    <w:rsid w:val="00B20392"/>
    <w:rsid w:val="00B24975"/>
    <w:rsid w:val="00B27E07"/>
    <w:rsid w:val="00B31BDE"/>
    <w:rsid w:val="00B34CDB"/>
    <w:rsid w:val="00B4266A"/>
    <w:rsid w:val="00B5117D"/>
    <w:rsid w:val="00B55DB5"/>
    <w:rsid w:val="00B56CA0"/>
    <w:rsid w:val="00B66BE2"/>
    <w:rsid w:val="00B675A0"/>
    <w:rsid w:val="00B71EA4"/>
    <w:rsid w:val="00B764ED"/>
    <w:rsid w:val="00B7763C"/>
    <w:rsid w:val="00B7783B"/>
    <w:rsid w:val="00B77CEE"/>
    <w:rsid w:val="00B82778"/>
    <w:rsid w:val="00B82BA4"/>
    <w:rsid w:val="00B8336B"/>
    <w:rsid w:val="00B83887"/>
    <w:rsid w:val="00B8610E"/>
    <w:rsid w:val="00B915B7"/>
    <w:rsid w:val="00B91FE3"/>
    <w:rsid w:val="00B943E9"/>
    <w:rsid w:val="00BA0FB7"/>
    <w:rsid w:val="00BB126F"/>
    <w:rsid w:val="00BB37CE"/>
    <w:rsid w:val="00BC29B9"/>
    <w:rsid w:val="00BC407D"/>
    <w:rsid w:val="00BC4492"/>
    <w:rsid w:val="00BD75C6"/>
    <w:rsid w:val="00BD7A1E"/>
    <w:rsid w:val="00BD7DC5"/>
    <w:rsid w:val="00BD7FF9"/>
    <w:rsid w:val="00BE601D"/>
    <w:rsid w:val="00BE6373"/>
    <w:rsid w:val="00BE6AED"/>
    <w:rsid w:val="00BE733F"/>
    <w:rsid w:val="00BE7DFB"/>
    <w:rsid w:val="00BF25DA"/>
    <w:rsid w:val="00BF2D51"/>
    <w:rsid w:val="00BF6B9F"/>
    <w:rsid w:val="00BF73A8"/>
    <w:rsid w:val="00BF79A6"/>
    <w:rsid w:val="00C00BEC"/>
    <w:rsid w:val="00C0518B"/>
    <w:rsid w:val="00C054E6"/>
    <w:rsid w:val="00C065C5"/>
    <w:rsid w:val="00C07D5B"/>
    <w:rsid w:val="00C10B97"/>
    <w:rsid w:val="00C1717A"/>
    <w:rsid w:val="00C1751C"/>
    <w:rsid w:val="00C20411"/>
    <w:rsid w:val="00C26C12"/>
    <w:rsid w:val="00C30C4F"/>
    <w:rsid w:val="00C3306A"/>
    <w:rsid w:val="00C34A92"/>
    <w:rsid w:val="00C411A0"/>
    <w:rsid w:val="00C55A9F"/>
    <w:rsid w:val="00C561F0"/>
    <w:rsid w:val="00C610D4"/>
    <w:rsid w:val="00C67C08"/>
    <w:rsid w:val="00C734D5"/>
    <w:rsid w:val="00C7491D"/>
    <w:rsid w:val="00C7763A"/>
    <w:rsid w:val="00C80302"/>
    <w:rsid w:val="00C8339F"/>
    <w:rsid w:val="00C85BAA"/>
    <w:rsid w:val="00C96413"/>
    <w:rsid w:val="00C9713B"/>
    <w:rsid w:val="00CA43D0"/>
    <w:rsid w:val="00CA755F"/>
    <w:rsid w:val="00CB0130"/>
    <w:rsid w:val="00CB3C4F"/>
    <w:rsid w:val="00CC066A"/>
    <w:rsid w:val="00CC0EB8"/>
    <w:rsid w:val="00CC18AC"/>
    <w:rsid w:val="00CD452D"/>
    <w:rsid w:val="00CD5648"/>
    <w:rsid w:val="00CE10C6"/>
    <w:rsid w:val="00CE298F"/>
    <w:rsid w:val="00CE5CF0"/>
    <w:rsid w:val="00CE5CFE"/>
    <w:rsid w:val="00CE6F63"/>
    <w:rsid w:val="00CF1762"/>
    <w:rsid w:val="00CF1792"/>
    <w:rsid w:val="00CF34C4"/>
    <w:rsid w:val="00CF3574"/>
    <w:rsid w:val="00CF42C7"/>
    <w:rsid w:val="00CF4C4B"/>
    <w:rsid w:val="00CF6013"/>
    <w:rsid w:val="00CF6367"/>
    <w:rsid w:val="00CF797F"/>
    <w:rsid w:val="00D00512"/>
    <w:rsid w:val="00D06692"/>
    <w:rsid w:val="00D11325"/>
    <w:rsid w:val="00D14BAD"/>
    <w:rsid w:val="00D14E23"/>
    <w:rsid w:val="00D156C3"/>
    <w:rsid w:val="00D17BF9"/>
    <w:rsid w:val="00D20B94"/>
    <w:rsid w:val="00D22344"/>
    <w:rsid w:val="00D238D5"/>
    <w:rsid w:val="00D30412"/>
    <w:rsid w:val="00D32B1B"/>
    <w:rsid w:val="00D34C25"/>
    <w:rsid w:val="00D3667E"/>
    <w:rsid w:val="00D375AB"/>
    <w:rsid w:val="00D3785E"/>
    <w:rsid w:val="00D40975"/>
    <w:rsid w:val="00D44FC9"/>
    <w:rsid w:val="00D4542F"/>
    <w:rsid w:val="00D4675E"/>
    <w:rsid w:val="00D55346"/>
    <w:rsid w:val="00D55612"/>
    <w:rsid w:val="00D578A9"/>
    <w:rsid w:val="00D61410"/>
    <w:rsid w:val="00D61881"/>
    <w:rsid w:val="00D61A43"/>
    <w:rsid w:val="00D6797D"/>
    <w:rsid w:val="00D75900"/>
    <w:rsid w:val="00D7733A"/>
    <w:rsid w:val="00D7755C"/>
    <w:rsid w:val="00D816E7"/>
    <w:rsid w:val="00D83BF9"/>
    <w:rsid w:val="00D849DD"/>
    <w:rsid w:val="00D922B9"/>
    <w:rsid w:val="00D928B5"/>
    <w:rsid w:val="00D95257"/>
    <w:rsid w:val="00D95A8D"/>
    <w:rsid w:val="00DA0807"/>
    <w:rsid w:val="00DA1674"/>
    <w:rsid w:val="00DA2952"/>
    <w:rsid w:val="00DA4861"/>
    <w:rsid w:val="00DA5C08"/>
    <w:rsid w:val="00DB03B0"/>
    <w:rsid w:val="00DB4AFA"/>
    <w:rsid w:val="00DC25A2"/>
    <w:rsid w:val="00DC777A"/>
    <w:rsid w:val="00DD53B3"/>
    <w:rsid w:val="00DE6064"/>
    <w:rsid w:val="00DE67E1"/>
    <w:rsid w:val="00DE6B85"/>
    <w:rsid w:val="00DF2379"/>
    <w:rsid w:val="00DF327F"/>
    <w:rsid w:val="00DF3F21"/>
    <w:rsid w:val="00DF4F06"/>
    <w:rsid w:val="00DF706B"/>
    <w:rsid w:val="00DF7CF5"/>
    <w:rsid w:val="00E00151"/>
    <w:rsid w:val="00E0220E"/>
    <w:rsid w:val="00E02310"/>
    <w:rsid w:val="00E02E2E"/>
    <w:rsid w:val="00E054F5"/>
    <w:rsid w:val="00E11EC1"/>
    <w:rsid w:val="00E1486A"/>
    <w:rsid w:val="00E1766F"/>
    <w:rsid w:val="00E215AC"/>
    <w:rsid w:val="00E24B96"/>
    <w:rsid w:val="00E26061"/>
    <w:rsid w:val="00E30BE4"/>
    <w:rsid w:val="00E31BC4"/>
    <w:rsid w:val="00E31C1E"/>
    <w:rsid w:val="00E41881"/>
    <w:rsid w:val="00E43649"/>
    <w:rsid w:val="00E46672"/>
    <w:rsid w:val="00E5076F"/>
    <w:rsid w:val="00E53D39"/>
    <w:rsid w:val="00E54FD8"/>
    <w:rsid w:val="00E5545C"/>
    <w:rsid w:val="00E55AA4"/>
    <w:rsid w:val="00E56B79"/>
    <w:rsid w:val="00E57060"/>
    <w:rsid w:val="00E63F19"/>
    <w:rsid w:val="00E640B8"/>
    <w:rsid w:val="00E65C1B"/>
    <w:rsid w:val="00E70E39"/>
    <w:rsid w:val="00E71315"/>
    <w:rsid w:val="00E8261B"/>
    <w:rsid w:val="00E831FC"/>
    <w:rsid w:val="00E92448"/>
    <w:rsid w:val="00E938D7"/>
    <w:rsid w:val="00E94912"/>
    <w:rsid w:val="00E97253"/>
    <w:rsid w:val="00E97519"/>
    <w:rsid w:val="00EA0837"/>
    <w:rsid w:val="00EA31A2"/>
    <w:rsid w:val="00EA4D4A"/>
    <w:rsid w:val="00EA727C"/>
    <w:rsid w:val="00EA7849"/>
    <w:rsid w:val="00EB111D"/>
    <w:rsid w:val="00EB2D3E"/>
    <w:rsid w:val="00EB5948"/>
    <w:rsid w:val="00EB7690"/>
    <w:rsid w:val="00EC1EC6"/>
    <w:rsid w:val="00EC544C"/>
    <w:rsid w:val="00ED0CAF"/>
    <w:rsid w:val="00ED121A"/>
    <w:rsid w:val="00ED327F"/>
    <w:rsid w:val="00ED7418"/>
    <w:rsid w:val="00EE64EA"/>
    <w:rsid w:val="00EF0121"/>
    <w:rsid w:val="00EF0BCB"/>
    <w:rsid w:val="00EF1157"/>
    <w:rsid w:val="00EF260F"/>
    <w:rsid w:val="00EF6AEC"/>
    <w:rsid w:val="00EF6DD7"/>
    <w:rsid w:val="00F0027E"/>
    <w:rsid w:val="00F01476"/>
    <w:rsid w:val="00F01779"/>
    <w:rsid w:val="00F042DF"/>
    <w:rsid w:val="00F0678A"/>
    <w:rsid w:val="00F10260"/>
    <w:rsid w:val="00F102E0"/>
    <w:rsid w:val="00F15D41"/>
    <w:rsid w:val="00F15D94"/>
    <w:rsid w:val="00F20DC5"/>
    <w:rsid w:val="00F226C4"/>
    <w:rsid w:val="00F25DF5"/>
    <w:rsid w:val="00F26ED7"/>
    <w:rsid w:val="00F303D0"/>
    <w:rsid w:val="00F31E56"/>
    <w:rsid w:val="00F337BC"/>
    <w:rsid w:val="00F33E96"/>
    <w:rsid w:val="00F3650D"/>
    <w:rsid w:val="00F36994"/>
    <w:rsid w:val="00F37BA8"/>
    <w:rsid w:val="00F406C5"/>
    <w:rsid w:val="00F43E6A"/>
    <w:rsid w:val="00F44F17"/>
    <w:rsid w:val="00F4521B"/>
    <w:rsid w:val="00F453E4"/>
    <w:rsid w:val="00F46063"/>
    <w:rsid w:val="00F504F5"/>
    <w:rsid w:val="00F52AE9"/>
    <w:rsid w:val="00F52BBA"/>
    <w:rsid w:val="00F5427F"/>
    <w:rsid w:val="00F6168A"/>
    <w:rsid w:val="00F627F8"/>
    <w:rsid w:val="00F64918"/>
    <w:rsid w:val="00F64D21"/>
    <w:rsid w:val="00F72047"/>
    <w:rsid w:val="00F76A0A"/>
    <w:rsid w:val="00F822D3"/>
    <w:rsid w:val="00F83B1A"/>
    <w:rsid w:val="00F84A39"/>
    <w:rsid w:val="00F8754B"/>
    <w:rsid w:val="00F9191A"/>
    <w:rsid w:val="00F92741"/>
    <w:rsid w:val="00F933D0"/>
    <w:rsid w:val="00F93E1E"/>
    <w:rsid w:val="00F941F6"/>
    <w:rsid w:val="00F94651"/>
    <w:rsid w:val="00F97298"/>
    <w:rsid w:val="00FA1AA1"/>
    <w:rsid w:val="00FA4069"/>
    <w:rsid w:val="00FA56A0"/>
    <w:rsid w:val="00FA576C"/>
    <w:rsid w:val="00FC4710"/>
    <w:rsid w:val="00FC5D4B"/>
    <w:rsid w:val="00FC6BC9"/>
    <w:rsid w:val="00FC7FB6"/>
    <w:rsid w:val="00FD31D4"/>
    <w:rsid w:val="00FD6BB5"/>
    <w:rsid w:val="00FD7395"/>
    <w:rsid w:val="00FD7BD6"/>
    <w:rsid w:val="00FE0C08"/>
    <w:rsid w:val="00FE1CE7"/>
    <w:rsid w:val="00FE26A9"/>
    <w:rsid w:val="00FE2EEC"/>
    <w:rsid w:val="00FE5252"/>
    <w:rsid w:val="00FF047F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05B4"/>
  <w15:docId w15:val="{8A63AEB1-0FD0-4042-995A-517A52D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B7"/>
    <w:rPr>
      <w:lang w:eastAsia="en-US"/>
    </w:rPr>
  </w:style>
  <w:style w:type="paragraph" w:styleId="Heading1">
    <w:name w:val="heading 1"/>
    <w:basedOn w:val="Normal"/>
    <w:next w:val="Normal"/>
    <w:qFormat/>
    <w:rsid w:val="00154BA9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4BA9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4BA9"/>
    <w:pPr>
      <w:tabs>
        <w:tab w:val="center" w:pos="4320"/>
        <w:tab w:val="right" w:pos="8640"/>
      </w:tabs>
    </w:pPr>
  </w:style>
  <w:style w:type="paragraph" w:customStyle="1" w:styleId="Pages">
    <w:name w:val="Pages"/>
    <w:basedOn w:val="BodyText"/>
    <w:uiPriority w:val="99"/>
    <w:rsid w:val="00154BA9"/>
    <w:pPr>
      <w:spacing w:after="0"/>
    </w:pPr>
    <w:rPr>
      <w:rFonts w:ascii="Arial" w:hAnsi="Arial"/>
      <w:b/>
    </w:rPr>
  </w:style>
  <w:style w:type="character" w:customStyle="1" w:styleId="MessageHeaderLabel">
    <w:name w:val="Message Header Label"/>
    <w:rsid w:val="00154BA9"/>
    <w:rPr>
      <w:rFonts w:ascii="Arial" w:hAnsi="Arial"/>
      <w:b/>
      <w:caps/>
      <w:sz w:val="18"/>
    </w:rPr>
  </w:style>
  <w:style w:type="paragraph" w:styleId="BodyText2">
    <w:name w:val="Body Text 2"/>
    <w:basedOn w:val="Normal"/>
    <w:link w:val="BodyText2Char"/>
    <w:rsid w:val="00154BA9"/>
    <w:pPr>
      <w:jc w:val="center"/>
    </w:pPr>
    <w:rPr>
      <w:rFonts w:ascii="Tahoma" w:hAnsi="Tahoma"/>
      <w:b/>
    </w:rPr>
  </w:style>
  <w:style w:type="paragraph" w:styleId="BodyText">
    <w:name w:val="Body Text"/>
    <w:basedOn w:val="Normal"/>
    <w:rsid w:val="00154BA9"/>
    <w:pPr>
      <w:spacing w:after="120"/>
    </w:pPr>
  </w:style>
  <w:style w:type="paragraph" w:styleId="BodyText3">
    <w:name w:val="Body Text 3"/>
    <w:basedOn w:val="Normal"/>
    <w:rsid w:val="00154BA9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D2234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A0ED8"/>
  </w:style>
  <w:style w:type="paragraph" w:styleId="BodyTextIndent">
    <w:name w:val="Body Text Indent"/>
    <w:basedOn w:val="Normal"/>
    <w:rsid w:val="003520B7"/>
    <w:pPr>
      <w:spacing w:after="120"/>
      <w:ind w:left="360"/>
    </w:pPr>
  </w:style>
  <w:style w:type="character" w:styleId="Hyperlink">
    <w:name w:val="Hyperlink"/>
    <w:basedOn w:val="DefaultParagraphFont"/>
    <w:rsid w:val="003520B7"/>
    <w:rPr>
      <w:color w:val="0000FF"/>
      <w:u w:val="single"/>
    </w:rPr>
  </w:style>
  <w:style w:type="table" w:styleId="TableGrid">
    <w:name w:val="Table Grid"/>
    <w:basedOn w:val="TableNormal"/>
    <w:uiPriority w:val="59"/>
    <w:rsid w:val="0035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D0669"/>
    <w:rPr>
      <w:lang w:val="en-US" w:eastAsia="en-US"/>
    </w:rPr>
  </w:style>
  <w:style w:type="paragraph" w:styleId="NoSpacing">
    <w:name w:val="No Spacing"/>
    <w:uiPriority w:val="1"/>
    <w:qFormat/>
    <w:rsid w:val="009D0669"/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8A136D"/>
    <w:rPr>
      <w:rFonts w:ascii="Tahoma" w:hAnsi="Tahoma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585B-B47D-4F50-AA97-FF4EF61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ksei</Company>
  <LinksUpToDate>false</LinksUpToDate>
  <CharactersWithSpaces>3162</CharactersWithSpaces>
  <SharedDoc>false</SharedDoc>
  <HLinks>
    <vt:vector size="6" baseType="variant"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mailto:hartati@ksei.co.id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made</dc:creator>
  <cp:lastModifiedBy>Lukman Sukarsono</cp:lastModifiedBy>
  <cp:revision>10</cp:revision>
  <cp:lastPrinted>2025-04-25T17:02:00Z</cp:lastPrinted>
  <dcterms:created xsi:type="dcterms:W3CDTF">2025-04-25T17:02:00Z</dcterms:created>
  <dcterms:modified xsi:type="dcterms:W3CDTF">2025-07-16T02:36:00Z</dcterms:modified>
</cp:coreProperties>
</file>